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B161D" w14:textId="15E5995F" w:rsidR="007F4DDF" w:rsidRPr="00E36A50" w:rsidRDefault="00000000">
      <w:pPr>
        <w:jc w:val="center"/>
        <w:rPr>
          <w:color w:val="000000" w:themeColor="text1"/>
        </w:rPr>
      </w:pPr>
      <w:r w:rsidRPr="00E36A50">
        <w:rPr>
          <w:b/>
          <w:color w:val="000000" w:themeColor="text1"/>
          <w:sz w:val="32"/>
        </w:rPr>
        <w:t xml:space="preserve">MIP </w:t>
      </w:r>
      <w:r w:rsidR="00E36A50">
        <w:rPr>
          <w:b/>
          <w:color w:val="000000" w:themeColor="text1"/>
          <w:sz w:val="32"/>
        </w:rPr>
        <w:t>-</w:t>
      </w:r>
      <w:r w:rsidRPr="00E36A50">
        <w:rPr>
          <w:b/>
          <w:color w:val="000000" w:themeColor="text1"/>
          <w:sz w:val="32"/>
        </w:rPr>
        <w:t xml:space="preserve"> Bank-Level Forecast Accuracy Summary</w:t>
      </w:r>
    </w:p>
    <w:p w14:paraId="75E82E51" w14:textId="77777777" w:rsidR="007F4DDF" w:rsidRPr="00E36A50" w:rsidRDefault="007F4DDF">
      <w:pPr>
        <w:rPr>
          <w:color w:val="000000" w:themeColor="text1"/>
        </w:rPr>
      </w:pPr>
    </w:p>
    <w:p w14:paraId="6745CD90" w14:textId="77777777" w:rsidR="007F4DDF" w:rsidRPr="00E36A50" w:rsidRDefault="00000000">
      <w:pPr>
        <w:pStyle w:val="Heading1"/>
        <w:rPr>
          <w:color w:val="000000" w:themeColor="text1"/>
        </w:rPr>
      </w:pPr>
      <w:r w:rsidRPr="00E36A50">
        <w:rPr>
          <w:color w:val="000000" w:themeColor="text1"/>
        </w:rPr>
        <w:t>1. Methodology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F4DDF" w:rsidRPr="00E36A50" w14:paraId="21D1A708" w14:textId="77777777" w:rsidTr="00E36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EBFC21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Item</w:t>
            </w:r>
          </w:p>
        </w:tc>
        <w:tc>
          <w:tcPr>
            <w:tcW w:w="4320" w:type="dxa"/>
          </w:tcPr>
          <w:p w14:paraId="273470A1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Detail</w:t>
            </w:r>
          </w:p>
        </w:tc>
      </w:tr>
      <w:tr w:rsidR="007F4DDF" w:rsidRPr="00E36A50" w14:paraId="0E756653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01AFE2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Models</w:t>
            </w:r>
          </w:p>
        </w:tc>
        <w:tc>
          <w:tcPr>
            <w:tcW w:w="4320" w:type="dxa"/>
          </w:tcPr>
          <w:p w14:paraId="72C519A3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Facebook Prophet (logistic growth) for banks with structural breaks;</w:t>
            </w:r>
            <w:r w:rsidRPr="00E36A50">
              <w:rPr>
                <w:color w:val="000000" w:themeColor="text1"/>
                <w:sz w:val="18"/>
              </w:rPr>
              <w:br/>
              <w:t>Holt-Winters ETS for clean, stable-growth banks</w:t>
            </w:r>
          </w:p>
        </w:tc>
      </w:tr>
      <w:tr w:rsidR="007F4DDF" w:rsidRPr="00E36A50" w14:paraId="467B49FA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E33C1E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Validation</w:t>
            </w:r>
          </w:p>
        </w:tc>
        <w:tc>
          <w:tcPr>
            <w:tcW w:w="4320" w:type="dxa"/>
          </w:tcPr>
          <w:p w14:paraId="50862D0E" w14:textId="4EE6219D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 xml:space="preserve">Walk-forward cross-validation </w:t>
            </w:r>
            <w:r w:rsidR="00E36A50">
              <w:rPr>
                <w:color w:val="000000" w:themeColor="text1"/>
                <w:sz w:val="18"/>
              </w:rPr>
              <w:t>-</w:t>
            </w:r>
            <w:r w:rsidRPr="00E36A50">
              <w:rPr>
                <w:color w:val="000000" w:themeColor="text1"/>
                <w:sz w:val="18"/>
              </w:rPr>
              <w:t xml:space="preserve"> 36-month initial window,</w:t>
            </w:r>
            <w:r w:rsidRPr="00E36A50">
              <w:rPr>
                <w:color w:val="000000" w:themeColor="text1"/>
                <w:sz w:val="18"/>
              </w:rPr>
              <w:br/>
              <w:t>6-month forecast horizon, 6-month step</w:t>
            </w:r>
          </w:p>
        </w:tc>
      </w:tr>
      <w:tr w:rsidR="007F4DDF" w:rsidRPr="00E36A50" w14:paraId="647DB9F5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D1D823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Bank Coverage</w:t>
            </w:r>
          </w:p>
        </w:tc>
        <w:tc>
          <w:tcPr>
            <w:tcW w:w="4320" w:type="dxa"/>
          </w:tcPr>
          <w:p w14:paraId="475D61CC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10 CC banks + 15 DC banks modelled individually (ground-up approach)</w:t>
            </w:r>
          </w:p>
        </w:tc>
      </w:tr>
      <w:tr w:rsidR="007F4DDF" w:rsidRPr="00E36A50" w14:paraId="48047ACF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53DD98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Industry Coverage</w:t>
            </w:r>
          </w:p>
        </w:tc>
        <w:tc>
          <w:tcPr>
            <w:tcW w:w="4320" w:type="dxa"/>
          </w:tcPr>
          <w:p w14:paraId="1A68F826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~91% of CC outstanding, ~83% of DC outstanding</w:t>
            </w:r>
          </w:p>
        </w:tc>
      </w:tr>
      <w:tr w:rsidR="007F4DDF" w:rsidRPr="00E36A50" w14:paraId="75A59750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E82918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Residual</w:t>
            </w:r>
          </w:p>
        </w:tc>
        <w:tc>
          <w:tcPr>
            <w:tcW w:w="4320" w:type="dxa"/>
          </w:tcPr>
          <w:p w14:paraId="5B7D6C03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Remaining banks captured via a single residual Prophet model;</w:t>
            </w:r>
            <w:r w:rsidRPr="00E36A50">
              <w:rPr>
                <w:color w:val="000000" w:themeColor="text1"/>
                <w:sz w:val="18"/>
              </w:rPr>
              <w:br/>
              <w:t>sum of individual + residual = India total</w:t>
            </w:r>
          </w:p>
        </w:tc>
      </w:tr>
      <w:tr w:rsidR="007F4DDF" w:rsidRPr="00E36A50" w14:paraId="72CEBEFE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AACB4D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Confidence Intervals</w:t>
            </w:r>
          </w:p>
        </w:tc>
        <w:tc>
          <w:tcPr>
            <w:tcW w:w="4320" w:type="dxa"/>
          </w:tcPr>
          <w:p w14:paraId="6F4630E5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90% prediction intervals from Prophet / ETS simulation</w:t>
            </w:r>
          </w:p>
        </w:tc>
      </w:tr>
    </w:tbl>
    <w:p w14:paraId="00821595" w14:textId="77777777" w:rsidR="007F4DDF" w:rsidRPr="00E36A50" w:rsidRDefault="007F4DDF">
      <w:pPr>
        <w:rPr>
          <w:color w:val="000000" w:themeColor="text1"/>
        </w:rPr>
      </w:pPr>
    </w:p>
    <w:p w14:paraId="1982999F" w14:textId="57EB5270" w:rsidR="007F4DDF" w:rsidRPr="00E36A50" w:rsidRDefault="00000000">
      <w:pPr>
        <w:pStyle w:val="Heading1"/>
        <w:rPr>
          <w:color w:val="000000" w:themeColor="text1"/>
        </w:rPr>
      </w:pPr>
      <w:r w:rsidRPr="00E36A50">
        <w:rPr>
          <w:color w:val="000000" w:themeColor="text1"/>
        </w:rPr>
        <w:t xml:space="preserve">2. Credit Card Outstanding </w:t>
      </w:r>
      <w:r w:rsidR="00E36A50">
        <w:rPr>
          <w:color w:val="000000" w:themeColor="text1"/>
        </w:rPr>
        <w:t>-</w:t>
      </w:r>
      <w:r w:rsidRPr="00E36A50">
        <w:rPr>
          <w:color w:val="000000" w:themeColor="text1"/>
        </w:rPr>
        <w:t xml:space="preserve"> Bank-Level Accuracy</w:t>
      </w:r>
    </w:p>
    <w:p w14:paraId="424C2DD9" w14:textId="77777777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t>10 banks modelled individually, covering ~91% of India CC outstanding.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155"/>
        <w:gridCol w:w="2154"/>
        <w:gridCol w:w="2155"/>
        <w:gridCol w:w="2156"/>
      </w:tblGrid>
      <w:tr w:rsidR="007F4DDF" w:rsidRPr="00E36A50" w14:paraId="01FB9BBD" w14:textId="77777777" w:rsidTr="00E36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87AEF0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Bank</w:t>
            </w:r>
          </w:p>
        </w:tc>
        <w:tc>
          <w:tcPr>
            <w:tcW w:w="2160" w:type="dxa"/>
          </w:tcPr>
          <w:p w14:paraId="134F3243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Model</w:t>
            </w:r>
          </w:p>
        </w:tc>
        <w:tc>
          <w:tcPr>
            <w:tcW w:w="2160" w:type="dxa"/>
          </w:tcPr>
          <w:p w14:paraId="6047FE98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CV MAPE (Median)</w:t>
            </w:r>
          </w:p>
        </w:tc>
        <w:tc>
          <w:tcPr>
            <w:tcW w:w="2160" w:type="dxa"/>
          </w:tcPr>
          <w:p w14:paraId="44FEE748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Notes</w:t>
            </w:r>
          </w:p>
        </w:tc>
      </w:tr>
      <w:tr w:rsidR="007F4DDF" w:rsidRPr="00E36A50" w14:paraId="32EE1C9D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924853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ICICI Bank</w:t>
            </w:r>
          </w:p>
        </w:tc>
        <w:tc>
          <w:tcPr>
            <w:tcW w:w="2160" w:type="dxa"/>
          </w:tcPr>
          <w:p w14:paraId="02ED6782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ETS</w:t>
            </w:r>
          </w:p>
        </w:tc>
        <w:tc>
          <w:tcPr>
            <w:tcW w:w="2160" w:type="dxa"/>
          </w:tcPr>
          <w:p w14:paraId="68A8980D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2.5%</w:t>
            </w:r>
          </w:p>
        </w:tc>
        <w:tc>
          <w:tcPr>
            <w:tcW w:w="2160" w:type="dxa"/>
          </w:tcPr>
          <w:p w14:paraId="26DE22E9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Stable growth, ETS outperforms Prophet</w:t>
            </w:r>
          </w:p>
        </w:tc>
      </w:tr>
      <w:tr w:rsidR="007F4DDF" w:rsidRPr="00E36A50" w14:paraId="047CB54B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CC6FF3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IndusInd Bank</w:t>
            </w:r>
          </w:p>
        </w:tc>
        <w:tc>
          <w:tcPr>
            <w:tcW w:w="2160" w:type="dxa"/>
          </w:tcPr>
          <w:p w14:paraId="04EFB0F8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ETS</w:t>
            </w:r>
          </w:p>
        </w:tc>
        <w:tc>
          <w:tcPr>
            <w:tcW w:w="2160" w:type="dxa"/>
          </w:tcPr>
          <w:p w14:paraId="7A64DEF3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4.4%</w:t>
            </w:r>
          </w:p>
        </w:tc>
        <w:tc>
          <w:tcPr>
            <w:tcW w:w="2160" w:type="dxa"/>
          </w:tcPr>
          <w:p w14:paraId="0ACA0DB6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Stable growth</w:t>
            </w:r>
          </w:p>
        </w:tc>
      </w:tr>
      <w:tr w:rsidR="007F4DDF" w:rsidRPr="00E36A50" w14:paraId="41A6545B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43BE3C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State Bank of India</w:t>
            </w:r>
          </w:p>
        </w:tc>
        <w:tc>
          <w:tcPr>
            <w:tcW w:w="2160" w:type="dxa"/>
          </w:tcPr>
          <w:p w14:paraId="24E5E249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2226BFDF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4.8%</w:t>
            </w:r>
          </w:p>
        </w:tc>
        <w:tc>
          <w:tcPr>
            <w:tcW w:w="2160" w:type="dxa"/>
          </w:tcPr>
          <w:p w14:paraId="439B8E13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38 CV windows, range 3.2%-11.3%</w:t>
            </w:r>
          </w:p>
        </w:tc>
      </w:tr>
      <w:tr w:rsidR="007F4DDF" w:rsidRPr="00E36A50" w14:paraId="46C75767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FEFEA7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HDFC Bank</w:t>
            </w:r>
          </w:p>
        </w:tc>
        <w:tc>
          <w:tcPr>
            <w:tcW w:w="2160" w:type="dxa"/>
          </w:tcPr>
          <w:p w14:paraId="657C0D1B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630FA6BD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5.7%</w:t>
            </w:r>
          </w:p>
        </w:tc>
        <w:tc>
          <w:tcPr>
            <w:tcW w:w="2160" w:type="dxa"/>
          </w:tcPr>
          <w:p w14:paraId="6A7C8A02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38 CV windows, range 3.1%-8.1%</w:t>
            </w:r>
          </w:p>
        </w:tc>
      </w:tr>
      <w:tr w:rsidR="007F4DDF" w:rsidRPr="00E36A50" w14:paraId="5FCA5EB7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70DABD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Axis Bank</w:t>
            </w:r>
          </w:p>
        </w:tc>
        <w:tc>
          <w:tcPr>
            <w:tcW w:w="2160" w:type="dxa"/>
          </w:tcPr>
          <w:p w14:paraId="4C847A13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ETS</w:t>
            </w:r>
          </w:p>
        </w:tc>
        <w:tc>
          <w:tcPr>
            <w:tcW w:w="2160" w:type="dxa"/>
          </w:tcPr>
          <w:p w14:paraId="114BF695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6.0%</w:t>
            </w:r>
          </w:p>
        </w:tc>
        <w:tc>
          <w:tcPr>
            <w:tcW w:w="2160" w:type="dxa"/>
          </w:tcPr>
          <w:p w14:paraId="2A3F7724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Stable growth</w:t>
            </w:r>
          </w:p>
        </w:tc>
      </w:tr>
      <w:tr w:rsidR="007F4DDF" w:rsidRPr="00E36A50" w14:paraId="799D5C4E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A08CFC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HSBC</w:t>
            </w:r>
          </w:p>
        </w:tc>
        <w:tc>
          <w:tcPr>
            <w:tcW w:w="2160" w:type="dxa"/>
          </w:tcPr>
          <w:p w14:paraId="374D9F13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37DC7BBD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13.4%</w:t>
            </w:r>
          </w:p>
        </w:tc>
        <w:tc>
          <w:tcPr>
            <w:tcW w:w="2160" w:type="dxa"/>
          </w:tcPr>
          <w:p w14:paraId="2083C15A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65 CV windows, range 6.7%-23.4%</w:t>
            </w:r>
          </w:p>
        </w:tc>
      </w:tr>
      <w:tr w:rsidR="007F4DDF" w:rsidRPr="00E36A50" w14:paraId="394181D7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EB0889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Bank of Baroda</w:t>
            </w:r>
          </w:p>
        </w:tc>
        <w:tc>
          <w:tcPr>
            <w:tcW w:w="2160" w:type="dxa"/>
          </w:tcPr>
          <w:p w14:paraId="67B32E55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6005666B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20.8%</w:t>
            </w:r>
          </w:p>
        </w:tc>
        <w:tc>
          <w:tcPr>
            <w:tcW w:w="2160" w:type="dxa"/>
          </w:tcPr>
          <w:p w14:paraId="4A36F428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27 CV windows, logistic cap applied</w:t>
            </w:r>
          </w:p>
        </w:tc>
      </w:tr>
      <w:tr w:rsidR="007F4DDF" w:rsidRPr="00E36A50" w14:paraId="430CF120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1EF0BF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Kotak Mahindra Bank</w:t>
            </w:r>
          </w:p>
        </w:tc>
        <w:tc>
          <w:tcPr>
            <w:tcW w:w="2160" w:type="dxa"/>
          </w:tcPr>
          <w:p w14:paraId="3B06887C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04AEC043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21.9%</w:t>
            </w:r>
          </w:p>
        </w:tc>
        <w:tc>
          <w:tcPr>
            <w:tcW w:w="2160" w:type="dxa"/>
          </w:tcPr>
          <w:p w14:paraId="3F127B32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33 CV windows, logistic cap applied</w:t>
            </w:r>
          </w:p>
        </w:tc>
      </w:tr>
      <w:tr w:rsidR="007F4DDF" w:rsidRPr="00E36A50" w14:paraId="7099DC3F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8B28CC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 Bank</w:t>
            </w:r>
          </w:p>
        </w:tc>
        <w:tc>
          <w:tcPr>
            <w:tcW w:w="2160" w:type="dxa"/>
          </w:tcPr>
          <w:p w14:paraId="0FA90197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61AEAB69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N/A*</w:t>
            </w:r>
          </w:p>
        </w:tc>
        <w:tc>
          <w:tcPr>
            <w:tcW w:w="2160" w:type="dxa"/>
          </w:tcPr>
          <w:p w14:paraId="04F2C5C5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Post-moratorium (Jun 2020), insufficient history for CV</w:t>
            </w:r>
          </w:p>
        </w:tc>
      </w:tr>
      <w:tr w:rsidR="007F4DDF" w:rsidRPr="00E36A50" w14:paraId="66F3E7A7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A35A3E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Canara Bank</w:t>
            </w:r>
          </w:p>
        </w:tc>
        <w:tc>
          <w:tcPr>
            <w:tcW w:w="2160" w:type="dxa"/>
          </w:tcPr>
          <w:p w14:paraId="6AC9D204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5B8AC6F5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N/A*</w:t>
            </w:r>
          </w:p>
        </w:tc>
        <w:tc>
          <w:tcPr>
            <w:tcW w:w="2160" w:type="dxa"/>
          </w:tcPr>
          <w:p w14:paraId="75FF873B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Post-merger (Apr 2020), insufficient history for CV</w:t>
            </w:r>
          </w:p>
        </w:tc>
      </w:tr>
    </w:tbl>
    <w:p w14:paraId="360AF05F" w14:textId="77777777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lastRenderedPageBreak/>
        <w:t>* Yes Bank and Canara Bank have &lt;72 months of post-event training data; CV requires 36-month initial window + 6-month horizon. Their forecasts are generated but not yet cross-validated. CV will become available as more months accumulate.</w:t>
      </w:r>
    </w:p>
    <w:p w14:paraId="5CB44C45" w14:textId="77777777" w:rsidR="007F4DDF" w:rsidRPr="00E36A50" w:rsidRDefault="00000000">
      <w:pPr>
        <w:rPr>
          <w:color w:val="000000" w:themeColor="text1"/>
        </w:rPr>
      </w:pPr>
      <w:r w:rsidRPr="00E36A50">
        <w:rPr>
          <w:b/>
          <w:color w:val="000000" w:themeColor="text1"/>
        </w:rPr>
        <w:t>CC Median (validated banks): 5.7%</w:t>
      </w:r>
    </w:p>
    <w:p w14:paraId="0BDED227" w14:textId="77777777" w:rsidR="007F4DDF" w:rsidRPr="00E36A50" w:rsidRDefault="007F4DDF">
      <w:pPr>
        <w:rPr>
          <w:color w:val="000000" w:themeColor="text1"/>
        </w:rPr>
      </w:pPr>
    </w:p>
    <w:p w14:paraId="7E30E8E6" w14:textId="5060191F" w:rsidR="007F4DDF" w:rsidRPr="00E36A50" w:rsidRDefault="00000000">
      <w:pPr>
        <w:pStyle w:val="Heading1"/>
        <w:rPr>
          <w:color w:val="000000" w:themeColor="text1"/>
        </w:rPr>
      </w:pPr>
      <w:r w:rsidRPr="00E36A50">
        <w:rPr>
          <w:color w:val="000000" w:themeColor="text1"/>
        </w:rPr>
        <w:t xml:space="preserve">3. Debit Card Outstanding </w:t>
      </w:r>
      <w:r w:rsidR="00E36A50">
        <w:rPr>
          <w:color w:val="000000" w:themeColor="text1"/>
        </w:rPr>
        <w:t>-</w:t>
      </w:r>
      <w:r w:rsidRPr="00E36A50">
        <w:rPr>
          <w:color w:val="000000" w:themeColor="text1"/>
        </w:rPr>
        <w:t xml:space="preserve"> Bank-Level Accuracy</w:t>
      </w:r>
    </w:p>
    <w:p w14:paraId="3563AB61" w14:textId="77777777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t>15 banks modelled individually, covering ~83% of India DC outstanding.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155"/>
        <w:gridCol w:w="2155"/>
        <w:gridCol w:w="2155"/>
        <w:gridCol w:w="2155"/>
      </w:tblGrid>
      <w:tr w:rsidR="007F4DDF" w:rsidRPr="00E36A50" w14:paraId="3D5CB46C" w14:textId="77777777" w:rsidTr="00E36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B26A66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Bank</w:t>
            </w:r>
          </w:p>
        </w:tc>
        <w:tc>
          <w:tcPr>
            <w:tcW w:w="2160" w:type="dxa"/>
          </w:tcPr>
          <w:p w14:paraId="16A8B3CF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Model</w:t>
            </w:r>
          </w:p>
        </w:tc>
        <w:tc>
          <w:tcPr>
            <w:tcW w:w="2160" w:type="dxa"/>
          </w:tcPr>
          <w:p w14:paraId="6106BD20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CV MAPE (Median)</w:t>
            </w:r>
          </w:p>
        </w:tc>
        <w:tc>
          <w:tcPr>
            <w:tcW w:w="2160" w:type="dxa"/>
          </w:tcPr>
          <w:p w14:paraId="5A9265EA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Notes</w:t>
            </w:r>
          </w:p>
        </w:tc>
      </w:tr>
      <w:tr w:rsidR="007F4DDF" w:rsidRPr="00E36A50" w14:paraId="780F5235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827B16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HDFC Bank</w:t>
            </w:r>
          </w:p>
        </w:tc>
        <w:tc>
          <w:tcPr>
            <w:tcW w:w="2160" w:type="dxa"/>
          </w:tcPr>
          <w:p w14:paraId="30B8CB64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ETS</w:t>
            </w:r>
          </w:p>
        </w:tc>
        <w:tc>
          <w:tcPr>
            <w:tcW w:w="2160" w:type="dxa"/>
          </w:tcPr>
          <w:p w14:paraId="3C5F9159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1.2%</w:t>
            </w:r>
          </w:p>
        </w:tc>
        <w:tc>
          <w:tcPr>
            <w:tcW w:w="2160" w:type="dxa"/>
          </w:tcPr>
          <w:p w14:paraId="3957CAE4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Very stable</w:t>
            </w:r>
          </w:p>
        </w:tc>
      </w:tr>
      <w:tr w:rsidR="007F4DDF" w:rsidRPr="00E36A50" w14:paraId="42C2F5F3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D1C318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UCO Bank</w:t>
            </w:r>
          </w:p>
        </w:tc>
        <w:tc>
          <w:tcPr>
            <w:tcW w:w="2160" w:type="dxa"/>
          </w:tcPr>
          <w:p w14:paraId="50367C0F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ETS</w:t>
            </w:r>
          </w:p>
        </w:tc>
        <w:tc>
          <w:tcPr>
            <w:tcW w:w="2160" w:type="dxa"/>
          </w:tcPr>
          <w:p w14:paraId="55422D88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2.6%</w:t>
            </w:r>
          </w:p>
        </w:tc>
        <w:tc>
          <w:tcPr>
            <w:tcW w:w="2160" w:type="dxa"/>
          </w:tcPr>
          <w:p w14:paraId="66D98B54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Stable</w:t>
            </w:r>
          </w:p>
        </w:tc>
      </w:tr>
      <w:tr w:rsidR="007F4DDF" w:rsidRPr="00E36A50" w14:paraId="019B6006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623C59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Axis Bank</w:t>
            </w:r>
          </w:p>
        </w:tc>
        <w:tc>
          <w:tcPr>
            <w:tcW w:w="2160" w:type="dxa"/>
          </w:tcPr>
          <w:p w14:paraId="6FB210B3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ETS</w:t>
            </w:r>
          </w:p>
        </w:tc>
        <w:tc>
          <w:tcPr>
            <w:tcW w:w="2160" w:type="dxa"/>
          </w:tcPr>
          <w:p w14:paraId="1D379239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3.1%</w:t>
            </w:r>
          </w:p>
        </w:tc>
        <w:tc>
          <w:tcPr>
            <w:tcW w:w="2160" w:type="dxa"/>
          </w:tcPr>
          <w:p w14:paraId="77F15D76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Stable</w:t>
            </w:r>
          </w:p>
        </w:tc>
      </w:tr>
      <w:tr w:rsidR="007F4DDF" w:rsidRPr="00E36A50" w14:paraId="61D068B5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BF65E0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State Bank of India</w:t>
            </w:r>
          </w:p>
        </w:tc>
        <w:tc>
          <w:tcPr>
            <w:tcW w:w="2160" w:type="dxa"/>
          </w:tcPr>
          <w:p w14:paraId="09B415DA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5CB6F21C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4.3%</w:t>
            </w:r>
          </w:p>
        </w:tc>
        <w:tc>
          <w:tcPr>
            <w:tcW w:w="2160" w:type="dxa"/>
          </w:tcPr>
          <w:p w14:paraId="7172F290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38 CV windows, range 1.5%-7.1%</w:t>
            </w:r>
          </w:p>
        </w:tc>
      </w:tr>
      <w:tr w:rsidR="007F4DDF" w:rsidRPr="00E36A50" w14:paraId="3DC3F76F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4DE543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Bank of Baroda</w:t>
            </w:r>
          </w:p>
        </w:tc>
        <w:tc>
          <w:tcPr>
            <w:tcW w:w="2160" w:type="dxa"/>
          </w:tcPr>
          <w:p w14:paraId="2E60F855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5923A92C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5.3%</w:t>
            </w:r>
          </w:p>
        </w:tc>
        <w:tc>
          <w:tcPr>
            <w:tcW w:w="2160" w:type="dxa"/>
          </w:tcPr>
          <w:p w14:paraId="481DE416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27 CV windows, range 1.5%-7.4%</w:t>
            </w:r>
          </w:p>
        </w:tc>
      </w:tr>
      <w:tr w:rsidR="007F4DDF" w:rsidRPr="00E36A50" w14:paraId="4E404E30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F83631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ICICI Bank</w:t>
            </w:r>
          </w:p>
        </w:tc>
        <w:tc>
          <w:tcPr>
            <w:tcW w:w="2160" w:type="dxa"/>
          </w:tcPr>
          <w:p w14:paraId="4A43B99C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ETS</w:t>
            </w:r>
          </w:p>
        </w:tc>
        <w:tc>
          <w:tcPr>
            <w:tcW w:w="2160" w:type="dxa"/>
          </w:tcPr>
          <w:p w14:paraId="23347E46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5.3%</w:t>
            </w:r>
          </w:p>
        </w:tc>
        <w:tc>
          <w:tcPr>
            <w:tcW w:w="2160" w:type="dxa"/>
          </w:tcPr>
          <w:p w14:paraId="2FDD0CC9" w14:textId="77777777" w:rsidR="007F4DDF" w:rsidRPr="00E36A50" w:rsidRDefault="007F4D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7F4DDF" w:rsidRPr="00E36A50" w14:paraId="6B36D200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04791B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Indian Overseas Bank</w:t>
            </w:r>
          </w:p>
        </w:tc>
        <w:tc>
          <w:tcPr>
            <w:tcW w:w="2160" w:type="dxa"/>
          </w:tcPr>
          <w:p w14:paraId="0AA6C958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ETS</w:t>
            </w:r>
          </w:p>
        </w:tc>
        <w:tc>
          <w:tcPr>
            <w:tcW w:w="2160" w:type="dxa"/>
          </w:tcPr>
          <w:p w14:paraId="3B86E1DA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5.7%</w:t>
            </w:r>
          </w:p>
        </w:tc>
        <w:tc>
          <w:tcPr>
            <w:tcW w:w="2160" w:type="dxa"/>
          </w:tcPr>
          <w:p w14:paraId="40933A78" w14:textId="77777777" w:rsidR="007F4DDF" w:rsidRPr="00E36A50" w:rsidRDefault="007F4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7F4DDF" w:rsidRPr="00E36A50" w14:paraId="0B58FB87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2343FC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Central Bank of India</w:t>
            </w:r>
          </w:p>
        </w:tc>
        <w:tc>
          <w:tcPr>
            <w:tcW w:w="2160" w:type="dxa"/>
          </w:tcPr>
          <w:p w14:paraId="30F3E94C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1849DEC8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7.3%</w:t>
            </w:r>
          </w:p>
        </w:tc>
        <w:tc>
          <w:tcPr>
            <w:tcW w:w="2160" w:type="dxa"/>
          </w:tcPr>
          <w:p w14:paraId="64F44DC9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38 CV windows, range 4.4%-11.0%</w:t>
            </w:r>
          </w:p>
        </w:tc>
      </w:tr>
      <w:tr w:rsidR="007F4DDF" w:rsidRPr="00E36A50" w14:paraId="47EDF863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B625E8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Kotak Mahindra Bank</w:t>
            </w:r>
          </w:p>
        </w:tc>
        <w:tc>
          <w:tcPr>
            <w:tcW w:w="2160" w:type="dxa"/>
          </w:tcPr>
          <w:p w14:paraId="39D93A81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5DA63F34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7.8%</w:t>
            </w:r>
          </w:p>
        </w:tc>
        <w:tc>
          <w:tcPr>
            <w:tcW w:w="2160" w:type="dxa"/>
          </w:tcPr>
          <w:p w14:paraId="4DD38DA6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38 CV windows, range 5.0%-10.3%</w:t>
            </w:r>
          </w:p>
        </w:tc>
      </w:tr>
      <w:tr w:rsidR="007F4DDF" w:rsidRPr="00E36A50" w14:paraId="275185B6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5EDB10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Bank of India</w:t>
            </w:r>
          </w:p>
        </w:tc>
        <w:tc>
          <w:tcPr>
            <w:tcW w:w="2160" w:type="dxa"/>
          </w:tcPr>
          <w:p w14:paraId="4506BA45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2E24D185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9.6%</w:t>
            </w:r>
          </w:p>
        </w:tc>
        <w:tc>
          <w:tcPr>
            <w:tcW w:w="2160" w:type="dxa"/>
          </w:tcPr>
          <w:p w14:paraId="558696BC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38 CV windows, range 3.8%-16.3%</w:t>
            </w:r>
          </w:p>
        </w:tc>
      </w:tr>
      <w:tr w:rsidR="007F4DDF" w:rsidRPr="00E36A50" w14:paraId="20974E3A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8361AB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Paytm Payments Bank</w:t>
            </w:r>
          </w:p>
        </w:tc>
        <w:tc>
          <w:tcPr>
            <w:tcW w:w="2160" w:type="dxa"/>
          </w:tcPr>
          <w:p w14:paraId="3446D30F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1C1BBCB2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21.4%</w:t>
            </w:r>
          </w:p>
        </w:tc>
        <w:tc>
          <w:tcPr>
            <w:tcW w:w="2160" w:type="dxa"/>
          </w:tcPr>
          <w:p w14:paraId="6F22AEC2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33 CV windows, high volatility</w:t>
            </w:r>
          </w:p>
        </w:tc>
      </w:tr>
      <w:tr w:rsidR="007F4DDF" w:rsidRPr="00E36A50" w14:paraId="2B3E348A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A0C363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Canara Bank</w:t>
            </w:r>
          </w:p>
        </w:tc>
        <w:tc>
          <w:tcPr>
            <w:tcW w:w="2160" w:type="dxa"/>
          </w:tcPr>
          <w:p w14:paraId="1D748F46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1BA92FE6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N/A*</w:t>
            </w:r>
          </w:p>
        </w:tc>
        <w:tc>
          <w:tcPr>
            <w:tcW w:w="2160" w:type="dxa"/>
          </w:tcPr>
          <w:p w14:paraId="449F3843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Post-merger (Apr 2020), insufficient history for CV</w:t>
            </w:r>
          </w:p>
        </w:tc>
      </w:tr>
      <w:tr w:rsidR="007F4DDF" w:rsidRPr="00E36A50" w14:paraId="56B0CB22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724F94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Union Bank of India</w:t>
            </w:r>
          </w:p>
        </w:tc>
        <w:tc>
          <w:tcPr>
            <w:tcW w:w="2160" w:type="dxa"/>
          </w:tcPr>
          <w:p w14:paraId="18639225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3EEA63D1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N/A*</w:t>
            </w:r>
          </w:p>
        </w:tc>
        <w:tc>
          <w:tcPr>
            <w:tcW w:w="2160" w:type="dxa"/>
          </w:tcPr>
          <w:p w14:paraId="4104229D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Post-merger (Apr 2020), insufficient history for CV</w:t>
            </w:r>
          </w:p>
        </w:tc>
      </w:tr>
      <w:tr w:rsidR="007F4DDF" w:rsidRPr="00E36A50" w14:paraId="2B242D14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6DB8FB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Punjab National Bank</w:t>
            </w:r>
          </w:p>
        </w:tc>
        <w:tc>
          <w:tcPr>
            <w:tcW w:w="2160" w:type="dxa"/>
          </w:tcPr>
          <w:p w14:paraId="275E6906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6BEFDDF9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N/A*</w:t>
            </w:r>
          </w:p>
        </w:tc>
        <w:tc>
          <w:tcPr>
            <w:tcW w:w="2160" w:type="dxa"/>
          </w:tcPr>
          <w:p w14:paraId="6C238EA4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Post-merger (Apr 2020), insufficient history for CV</w:t>
            </w:r>
          </w:p>
        </w:tc>
      </w:tr>
      <w:tr w:rsidR="007F4DDF" w:rsidRPr="00E36A50" w14:paraId="02ACBA4A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E229B7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Indian Bank</w:t>
            </w:r>
          </w:p>
        </w:tc>
        <w:tc>
          <w:tcPr>
            <w:tcW w:w="2160" w:type="dxa"/>
          </w:tcPr>
          <w:p w14:paraId="706715F6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3DC27F52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N/A*</w:t>
            </w:r>
          </w:p>
        </w:tc>
        <w:tc>
          <w:tcPr>
            <w:tcW w:w="2160" w:type="dxa"/>
          </w:tcPr>
          <w:p w14:paraId="699B377E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Post-merger (Apr 2020), insufficient history for CV</w:t>
            </w:r>
          </w:p>
        </w:tc>
      </w:tr>
    </w:tbl>
    <w:p w14:paraId="3773505F" w14:textId="77777777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t>* Four post-merger DC banks have &lt;72 months of training data; CV is not yet possible. These banks will accumulate sufficient history by mid-2026.</w:t>
      </w:r>
    </w:p>
    <w:p w14:paraId="5DDF1BC9" w14:textId="77777777" w:rsidR="007F4DDF" w:rsidRPr="00E36A50" w:rsidRDefault="00000000">
      <w:pPr>
        <w:rPr>
          <w:color w:val="000000" w:themeColor="text1"/>
        </w:rPr>
      </w:pPr>
      <w:r w:rsidRPr="00E36A50">
        <w:rPr>
          <w:b/>
          <w:color w:val="000000" w:themeColor="text1"/>
        </w:rPr>
        <w:t>DC Median (validated banks): 5.3%</w:t>
      </w:r>
    </w:p>
    <w:p w14:paraId="5339E59B" w14:textId="77777777" w:rsidR="007F4DDF" w:rsidRPr="00E36A50" w:rsidRDefault="007F4DDF">
      <w:pPr>
        <w:rPr>
          <w:color w:val="000000" w:themeColor="text1"/>
        </w:rPr>
      </w:pPr>
    </w:p>
    <w:p w14:paraId="6F2A4140" w14:textId="77777777" w:rsidR="007F4DDF" w:rsidRPr="00E36A50" w:rsidRDefault="00000000">
      <w:pPr>
        <w:pStyle w:val="Heading1"/>
        <w:rPr>
          <w:color w:val="000000" w:themeColor="text1"/>
        </w:rPr>
      </w:pPr>
      <w:r w:rsidRPr="00E36A50">
        <w:rPr>
          <w:color w:val="000000" w:themeColor="text1"/>
        </w:rPr>
        <w:t>4. Aggregate Out-of-Sample Holdout (Jan - Jun 2025)</w:t>
      </w:r>
    </w:p>
    <w:p w14:paraId="43161B34" w14:textId="77777777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t>True OOS test: models trained through Dec 2024, forecasts compared against actual Jan-Jun 2025 data. This measures the combined accuracy of all individual bank models + residual after aggregation.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156"/>
        <w:gridCol w:w="2154"/>
        <w:gridCol w:w="2155"/>
        <w:gridCol w:w="2155"/>
      </w:tblGrid>
      <w:tr w:rsidR="007F4DDF" w:rsidRPr="00E36A50" w14:paraId="20EB4FAA" w14:textId="77777777" w:rsidTr="00E36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1E638C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lastRenderedPageBreak/>
              <w:t>Metric</w:t>
            </w:r>
          </w:p>
        </w:tc>
        <w:tc>
          <w:tcPr>
            <w:tcW w:w="2160" w:type="dxa"/>
          </w:tcPr>
          <w:p w14:paraId="22DDBA8B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OOS MAPE</w:t>
            </w:r>
          </w:p>
        </w:tc>
        <w:tc>
          <w:tcPr>
            <w:tcW w:w="2160" w:type="dxa"/>
          </w:tcPr>
          <w:p w14:paraId="2F4A2151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Max Monthly Error</w:t>
            </w:r>
          </w:p>
        </w:tc>
        <w:tc>
          <w:tcPr>
            <w:tcW w:w="2160" w:type="dxa"/>
          </w:tcPr>
          <w:p w14:paraId="49ECEA74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90% CI Coverage</w:t>
            </w:r>
          </w:p>
        </w:tc>
      </w:tr>
      <w:tr w:rsidR="007F4DDF" w:rsidRPr="00E36A50" w14:paraId="20CEC230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5BF955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CC Outstanding (India)</w:t>
            </w:r>
          </w:p>
        </w:tc>
        <w:tc>
          <w:tcPr>
            <w:tcW w:w="2160" w:type="dxa"/>
          </w:tcPr>
          <w:p w14:paraId="29792425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1.58%</w:t>
            </w:r>
          </w:p>
        </w:tc>
        <w:tc>
          <w:tcPr>
            <w:tcW w:w="2160" w:type="dxa"/>
          </w:tcPr>
          <w:p w14:paraId="276C796F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2.41%</w:t>
            </w:r>
          </w:p>
        </w:tc>
        <w:tc>
          <w:tcPr>
            <w:tcW w:w="2160" w:type="dxa"/>
          </w:tcPr>
          <w:p w14:paraId="077B5093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83% (5/6 months)</w:t>
            </w:r>
          </w:p>
        </w:tc>
      </w:tr>
      <w:tr w:rsidR="007F4DDF" w:rsidRPr="00E36A50" w14:paraId="5162B228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FC7A6A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DC Outstanding (India)</w:t>
            </w:r>
          </w:p>
        </w:tc>
        <w:tc>
          <w:tcPr>
            <w:tcW w:w="2160" w:type="dxa"/>
          </w:tcPr>
          <w:p w14:paraId="0EF0F938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1.02%</w:t>
            </w:r>
          </w:p>
        </w:tc>
        <w:tc>
          <w:tcPr>
            <w:tcW w:w="2160" w:type="dxa"/>
          </w:tcPr>
          <w:p w14:paraId="4D95A279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2.06%</w:t>
            </w:r>
          </w:p>
        </w:tc>
        <w:tc>
          <w:tcPr>
            <w:tcW w:w="2160" w:type="dxa"/>
          </w:tcPr>
          <w:p w14:paraId="0086E097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100% (6/6 months)</w:t>
            </w:r>
          </w:p>
        </w:tc>
      </w:tr>
    </w:tbl>
    <w:p w14:paraId="5259964D" w14:textId="77777777" w:rsidR="007F4DDF" w:rsidRPr="00E36A50" w:rsidRDefault="007F4DDF">
      <w:pPr>
        <w:rPr>
          <w:color w:val="000000" w:themeColor="text1"/>
        </w:rPr>
      </w:pPr>
    </w:p>
    <w:p w14:paraId="51E7F13F" w14:textId="77777777" w:rsidR="007F4DDF" w:rsidRPr="00E36A50" w:rsidRDefault="00000000">
      <w:pPr>
        <w:pStyle w:val="Heading2"/>
        <w:rPr>
          <w:color w:val="000000" w:themeColor="text1"/>
        </w:rPr>
      </w:pPr>
      <w:r w:rsidRPr="00E36A50">
        <w:rPr>
          <w:color w:val="000000" w:themeColor="text1"/>
        </w:rPr>
        <w:t>5. OOS Month-by-Month Detail</w:t>
      </w:r>
    </w:p>
    <w:p w14:paraId="4A1EDF98" w14:textId="77777777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t>CC Outstanding (lakh Cr)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724"/>
        <w:gridCol w:w="1724"/>
        <w:gridCol w:w="1725"/>
        <w:gridCol w:w="1724"/>
        <w:gridCol w:w="1723"/>
      </w:tblGrid>
      <w:tr w:rsidR="007F4DDF" w:rsidRPr="00E36A50" w14:paraId="3F4209A1" w14:textId="77777777" w:rsidTr="00E36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749EAA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Month</w:t>
            </w:r>
          </w:p>
        </w:tc>
        <w:tc>
          <w:tcPr>
            <w:tcW w:w="1728" w:type="dxa"/>
          </w:tcPr>
          <w:p w14:paraId="1DF7AE6F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Actual</w:t>
            </w:r>
          </w:p>
        </w:tc>
        <w:tc>
          <w:tcPr>
            <w:tcW w:w="1728" w:type="dxa"/>
          </w:tcPr>
          <w:p w14:paraId="41EBA786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Forecast</w:t>
            </w:r>
          </w:p>
        </w:tc>
        <w:tc>
          <w:tcPr>
            <w:tcW w:w="1728" w:type="dxa"/>
          </w:tcPr>
          <w:p w14:paraId="0886994C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APE</w:t>
            </w:r>
          </w:p>
        </w:tc>
        <w:tc>
          <w:tcPr>
            <w:tcW w:w="1728" w:type="dxa"/>
          </w:tcPr>
          <w:p w14:paraId="2EB3B561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In 90% CI</w:t>
            </w:r>
          </w:p>
        </w:tc>
      </w:tr>
      <w:tr w:rsidR="007F4DDF" w:rsidRPr="00E36A50" w14:paraId="0D5FD7AE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783296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Jan 2025</w:t>
            </w:r>
          </w:p>
        </w:tc>
        <w:tc>
          <w:tcPr>
            <w:tcW w:w="1728" w:type="dxa"/>
          </w:tcPr>
          <w:p w14:paraId="1539A12D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10,887 Cr</w:t>
            </w:r>
          </w:p>
        </w:tc>
        <w:tc>
          <w:tcPr>
            <w:tcW w:w="1728" w:type="dxa"/>
          </w:tcPr>
          <w:p w14:paraId="5EE8F86A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10,948 Cr</w:t>
            </w:r>
          </w:p>
        </w:tc>
        <w:tc>
          <w:tcPr>
            <w:tcW w:w="1728" w:type="dxa"/>
          </w:tcPr>
          <w:p w14:paraId="2A8ED5C6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0.6%</w:t>
            </w:r>
          </w:p>
        </w:tc>
        <w:tc>
          <w:tcPr>
            <w:tcW w:w="1728" w:type="dxa"/>
          </w:tcPr>
          <w:p w14:paraId="44ABC98C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</w:t>
            </w:r>
          </w:p>
        </w:tc>
      </w:tr>
      <w:tr w:rsidR="007F4DDF" w:rsidRPr="00E36A50" w14:paraId="1DDF768F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E1DD31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Feb 2025</w:t>
            </w:r>
          </w:p>
        </w:tc>
        <w:tc>
          <w:tcPr>
            <w:tcW w:w="1728" w:type="dxa"/>
          </w:tcPr>
          <w:p w14:paraId="63EF765E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10,932 Cr</w:t>
            </w:r>
          </w:p>
        </w:tc>
        <w:tc>
          <w:tcPr>
            <w:tcW w:w="1728" w:type="dxa"/>
          </w:tcPr>
          <w:p w14:paraId="749CDE9E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11,043 Cr</w:t>
            </w:r>
          </w:p>
        </w:tc>
        <w:tc>
          <w:tcPr>
            <w:tcW w:w="1728" w:type="dxa"/>
          </w:tcPr>
          <w:p w14:paraId="411557DF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1.0%</w:t>
            </w:r>
          </w:p>
        </w:tc>
        <w:tc>
          <w:tcPr>
            <w:tcW w:w="1728" w:type="dxa"/>
          </w:tcPr>
          <w:p w14:paraId="6AD8E53E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</w:t>
            </w:r>
          </w:p>
        </w:tc>
      </w:tr>
      <w:tr w:rsidR="007F4DDF" w:rsidRPr="00E36A50" w14:paraId="10BD34D4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D40951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Mar 2025</w:t>
            </w:r>
          </w:p>
        </w:tc>
        <w:tc>
          <w:tcPr>
            <w:tcW w:w="1728" w:type="dxa"/>
          </w:tcPr>
          <w:p w14:paraId="01763934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10,989 Cr</w:t>
            </w:r>
          </w:p>
        </w:tc>
        <w:tc>
          <w:tcPr>
            <w:tcW w:w="1728" w:type="dxa"/>
          </w:tcPr>
          <w:p w14:paraId="2F7D2C06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11,189 Cr</w:t>
            </w:r>
          </w:p>
        </w:tc>
        <w:tc>
          <w:tcPr>
            <w:tcW w:w="1728" w:type="dxa"/>
          </w:tcPr>
          <w:p w14:paraId="700EBB7E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1.8%</w:t>
            </w:r>
          </w:p>
        </w:tc>
        <w:tc>
          <w:tcPr>
            <w:tcW w:w="1728" w:type="dxa"/>
          </w:tcPr>
          <w:p w14:paraId="003BC9E6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</w:t>
            </w:r>
          </w:p>
        </w:tc>
      </w:tr>
      <w:tr w:rsidR="007F4DDF" w:rsidRPr="00E36A50" w14:paraId="7677A80A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5A06C4D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Apr 2025</w:t>
            </w:r>
          </w:p>
        </w:tc>
        <w:tc>
          <w:tcPr>
            <w:tcW w:w="1728" w:type="dxa"/>
          </w:tcPr>
          <w:p w14:paraId="3667B287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11,044 Cr</w:t>
            </w:r>
          </w:p>
        </w:tc>
        <w:tc>
          <w:tcPr>
            <w:tcW w:w="1728" w:type="dxa"/>
          </w:tcPr>
          <w:p w14:paraId="4338A7F4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11,245 Cr</w:t>
            </w:r>
          </w:p>
        </w:tc>
        <w:tc>
          <w:tcPr>
            <w:tcW w:w="1728" w:type="dxa"/>
          </w:tcPr>
          <w:p w14:paraId="6F901D58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1.8%</w:t>
            </w:r>
          </w:p>
        </w:tc>
        <w:tc>
          <w:tcPr>
            <w:tcW w:w="1728" w:type="dxa"/>
          </w:tcPr>
          <w:p w14:paraId="06C2B3C8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</w:t>
            </w:r>
          </w:p>
        </w:tc>
      </w:tr>
      <w:tr w:rsidR="007F4DDF" w:rsidRPr="00E36A50" w14:paraId="0CFE9E51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7768429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May 2025</w:t>
            </w:r>
          </w:p>
        </w:tc>
        <w:tc>
          <w:tcPr>
            <w:tcW w:w="1728" w:type="dxa"/>
          </w:tcPr>
          <w:p w14:paraId="48B914E7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11,105 Cr</w:t>
            </w:r>
          </w:p>
        </w:tc>
        <w:tc>
          <w:tcPr>
            <w:tcW w:w="1728" w:type="dxa"/>
          </w:tcPr>
          <w:p w14:paraId="7F63ACFE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11,312 Cr</w:t>
            </w:r>
          </w:p>
        </w:tc>
        <w:tc>
          <w:tcPr>
            <w:tcW w:w="1728" w:type="dxa"/>
          </w:tcPr>
          <w:p w14:paraId="2DF08CA1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1.9%</w:t>
            </w:r>
          </w:p>
        </w:tc>
        <w:tc>
          <w:tcPr>
            <w:tcW w:w="1728" w:type="dxa"/>
          </w:tcPr>
          <w:p w14:paraId="004FB5D0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</w:t>
            </w:r>
          </w:p>
        </w:tc>
      </w:tr>
      <w:tr w:rsidR="007F4DDF" w:rsidRPr="00E36A50" w14:paraId="122146AE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0C5448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Jun 2025</w:t>
            </w:r>
          </w:p>
        </w:tc>
        <w:tc>
          <w:tcPr>
            <w:tcW w:w="1728" w:type="dxa"/>
          </w:tcPr>
          <w:p w14:paraId="370A219E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11,097 Cr</w:t>
            </w:r>
          </w:p>
        </w:tc>
        <w:tc>
          <w:tcPr>
            <w:tcW w:w="1728" w:type="dxa"/>
          </w:tcPr>
          <w:p w14:paraId="1AB88254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11,364 Cr</w:t>
            </w:r>
          </w:p>
        </w:tc>
        <w:tc>
          <w:tcPr>
            <w:tcW w:w="1728" w:type="dxa"/>
          </w:tcPr>
          <w:p w14:paraId="336C9D18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2.4%</w:t>
            </w:r>
          </w:p>
        </w:tc>
        <w:tc>
          <w:tcPr>
            <w:tcW w:w="1728" w:type="dxa"/>
          </w:tcPr>
          <w:p w14:paraId="68D36D9E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No</w:t>
            </w:r>
          </w:p>
        </w:tc>
      </w:tr>
    </w:tbl>
    <w:p w14:paraId="21A1337D" w14:textId="77777777" w:rsidR="007F4DDF" w:rsidRPr="00E36A50" w:rsidRDefault="007F4DDF">
      <w:pPr>
        <w:rPr>
          <w:color w:val="000000" w:themeColor="text1"/>
        </w:rPr>
      </w:pPr>
    </w:p>
    <w:p w14:paraId="404117AE" w14:textId="77777777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t>DC Outstanding (lakh)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724"/>
        <w:gridCol w:w="1725"/>
        <w:gridCol w:w="1725"/>
        <w:gridCol w:w="1723"/>
        <w:gridCol w:w="1723"/>
      </w:tblGrid>
      <w:tr w:rsidR="007F4DDF" w:rsidRPr="00E36A50" w14:paraId="3276C0D1" w14:textId="77777777" w:rsidTr="00E36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363CD0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Month</w:t>
            </w:r>
          </w:p>
        </w:tc>
        <w:tc>
          <w:tcPr>
            <w:tcW w:w="1728" w:type="dxa"/>
          </w:tcPr>
          <w:p w14:paraId="67C7BFCB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Actual</w:t>
            </w:r>
          </w:p>
        </w:tc>
        <w:tc>
          <w:tcPr>
            <w:tcW w:w="1728" w:type="dxa"/>
          </w:tcPr>
          <w:p w14:paraId="7515AC7A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Forecast</w:t>
            </w:r>
          </w:p>
        </w:tc>
        <w:tc>
          <w:tcPr>
            <w:tcW w:w="1728" w:type="dxa"/>
          </w:tcPr>
          <w:p w14:paraId="5B86CD70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APE</w:t>
            </w:r>
          </w:p>
        </w:tc>
        <w:tc>
          <w:tcPr>
            <w:tcW w:w="1728" w:type="dxa"/>
          </w:tcPr>
          <w:p w14:paraId="5D842B1C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In 90% CI</w:t>
            </w:r>
          </w:p>
        </w:tc>
      </w:tr>
      <w:tr w:rsidR="007F4DDF" w:rsidRPr="00E36A50" w14:paraId="2981987D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0CFDE22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Jan 2025</w:t>
            </w:r>
          </w:p>
        </w:tc>
        <w:tc>
          <w:tcPr>
            <w:tcW w:w="1728" w:type="dxa"/>
          </w:tcPr>
          <w:p w14:paraId="1189676A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98,204 L</w:t>
            </w:r>
          </w:p>
        </w:tc>
        <w:tc>
          <w:tcPr>
            <w:tcW w:w="1728" w:type="dxa"/>
          </w:tcPr>
          <w:p w14:paraId="5F5115AA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1,00,182 L</w:t>
            </w:r>
          </w:p>
        </w:tc>
        <w:tc>
          <w:tcPr>
            <w:tcW w:w="1728" w:type="dxa"/>
          </w:tcPr>
          <w:p w14:paraId="44B8F186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2.0%</w:t>
            </w:r>
          </w:p>
        </w:tc>
        <w:tc>
          <w:tcPr>
            <w:tcW w:w="1728" w:type="dxa"/>
          </w:tcPr>
          <w:p w14:paraId="0616888F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</w:t>
            </w:r>
          </w:p>
        </w:tc>
      </w:tr>
      <w:tr w:rsidR="007F4DDF" w:rsidRPr="00E36A50" w14:paraId="64A6836A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BC3B246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Feb 2025</w:t>
            </w:r>
          </w:p>
        </w:tc>
        <w:tc>
          <w:tcPr>
            <w:tcW w:w="1728" w:type="dxa"/>
          </w:tcPr>
          <w:p w14:paraId="4D9B107B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98,568 L</w:t>
            </w:r>
          </w:p>
        </w:tc>
        <w:tc>
          <w:tcPr>
            <w:tcW w:w="1728" w:type="dxa"/>
          </w:tcPr>
          <w:p w14:paraId="50D40BA2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1,00,594 L</w:t>
            </w:r>
          </w:p>
        </w:tc>
        <w:tc>
          <w:tcPr>
            <w:tcW w:w="1728" w:type="dxa"/>
          </w:tcPr>
          <w:p w14:paraId="71CF3498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2.1%</w:t>
            </w:r>
          </w:p>
        </w:tc>
        <w:tc>
          <w:tcPr>
            <w:tcW w:w="1728" w:type="dxa"/>
          </w:tcPr>
          <w:p w14:paraId="352196E4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</w:t>
            </w:r>
          </w:p>
        </w:tc>
      </w:tr>
      <w:tr w:rsidR="007F4DDF" w:rsidRPr="00E36A50" w14:paraId="1C741046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0C6A7F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Mar 2025</w:t>
            </w:r>
          </w:p>
        </w:tc>
        <w:tc>
          <w:tcPr>
            <w:tcW w:w="1728" w:type="dxa"/>
          </w:tcPr>
          <w:p w14:paraId="6E5E870A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99,081 L</w:t>
            </w:r>
          </w:p>
        </w:tc>
        <w:tc>
          <w:tcPr>
            <w:tcW w:w="1728" w:type="dxa"/>
          </w:tcPr>
          <w:p w14:paraId="3B6F82F8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99,810 L</w:t>
            </w:r>
          </w:p>
        </w:tc>
        <w:tc>
          <w:tcPr>
            <w:tcW w:w="1728" w:type="dxa"/>
          </w:tcPr>
          <w:p w14:paraId="40003325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0.7%</w:t>
            </w:r>
          </w:p>
        </w:tc>
        <w:tc>
          <w:tcPr>
            <w:tcW w:w="1728" w:type="dxa"/>
          </w:tcPr>
          <w:p w14:paraId="62B6DE1E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</w:t>
            </w:r>
          </w:p>
        </w:tc>
      </w:tr>
      <w:tr w:rsidR="007F4DDF" w:rsidRPr="00E36A50" w14:paraId="27491CD9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A10C12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Apr 2025</w:t>
            </w:r>
          </w:p>
        </w:tc>
        <w:tc>
          <w:tcPr>
            <w:tcW w:w="1728" w:type="dxa"/>
          </w:tcPr>
          <w:p w14:paraId="5C58E2AF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99,598 L</w:t>
            </w:r>
          </w:p>
        </w:tc>
        <w:tc>
          <w:tcPr>
            <w:tcW w:w="1728" w:type="dxa"/>
          </w:tcPr>
          <w:p w14:paraId="58FD2CBD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1,00,278 L</w:t>
            </w:r>
          </w:p>
        </w:tc>
        <w:tc>
          <w:tcPr>
            <w:tcW w:w="1728" w:type="dxa"/>
          </w:tcPr>
          <w:p w14:paraId="03AA2E59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0.7%</w:t>
            </w:r>
          </w:p>
        </w:tc>
        <w:tc>
          <w:tcPr>
            <w:tcW w:w="1728" w:type="dxa"/>
          </w:tcPr>
          <w:p w14:paraId="32C0BE16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</w:t>
            </w:r>
          </w:p>
        </w:tc>
      </w:tr>
      <w:tr w:rsidR="007F4DDF" w:rsidRPr="00E36A50" w14:paraId="4F084128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E475EB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May 2025</w:t>
            </w:r>
          </w:p>
        </w:tc>
        <w:tc>
          <w:tcPr>
            <w:tcW w:w="1728" w:type="dxa"/>
          </w:tcPr>
          <w:p w14:paraId="698C7DFA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1,00,037 L</w:t>
            </w:r>
          </w:p>
        </w:tc>
        <w:tc>
          <w:tcPr>
            <w:tcW w:w="1728" w:type="dxa"/>
          </w:tcPr>
          <w:p w14:paraId="4DC9D635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1,00,409 L</w:t>
            </w:r>
          </w:p>
        </w:tc>
        <w:tc>
          <w:tcPr>
            <w:tcW w:w="1728" w:type="dxa"/>
          </w:tcPr>
          <w:p w14:paraId="532B88CB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0.4%</w:t>
            </w:r>
          </w:p>
        </w:tc>
        <w:tc>
          <w:tcPr>
            <w:tcW w:w="1728" w:type="dxa"/>
          </w:tcPr>
          <w:p w14:paraId="482BAFE8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</w:t>
            </w:r>
          </w:p>
        </w:tc>
      </w:tr>
      <w:tr w:rsidR="007F4DDF" w:rsidRPr="00E36A50" w14:paraId="27FF8533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B86843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Jun 2025</w:t>
            </w:r>
          </w:p>
        </w:tc>
        <w:tc>
          <w:tcPr>
            <w:tcW w:w="1728" w:type="dxa"/>
          </w:tcPr>
          <w:p w14:paraId="5F8485D0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1,00,518 L</w:t>
            </w:r>
          </w:p>
        </w:tc>
        <w:tc>
          <w:tcPr>
            <w:tcW w:w="1728" w:type="dxa"/>
          </w:tcPr>
          <w:p w14:paraId="7A0E7498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1,00,756 L</w:t>
            </w:r>
          </w:p>
        </w:tc>
        <w:tc>
          <w:tcPr>
            <w:tcW w:w="1728" w:type="dxa"/>
          </w:tcPr>
          <w:p w14:paraId="179BEAF9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0.2%</w:t>
            </w:r>
          </w:p>
        </w:tc>
        <w:tc>
          <w:tcPr>
            <w:tcW w:w="1728" w:type="dxa"/>
          </w:tcPr>
          <w:p w14:paraId="539220C2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</w:t>
            </w:r>
          </w:p>
        </w:tc>
      </w:tr>
    </w:tbl>
    <w:p w14:paraId="10A5BD63" w14:textId="77777777" w:rsidR="007F4DDF" w:rsidRPr="00E36A50" w:rsidRDefault="007F4DDF">
      <w:pPr>
        <w:rPr>
          <w:color w:val="000000" w:themeColor="text1"/>
        </w:rPr>
      </w:pPr>
    </w:p>
    <w:p w14:paraId="415F39DC" w14:textId="77777777" w:rsidR="007F4DDF" w:rsidRPr="00E36A50" w:rsidRDefault="00000000">
      <w:pPr>
        <w:pStyle w:val="Heading1"/>
        <w:rPr>
          <w:color w:val="000000" w:themeColor="text1"/>
        </w:rPr>
      </w:pPr>
      <w:r w:rsidRPr="00E36A50">
        <w:rPr>
          <w:color w:val="000000" w:themeColor="text1"/>
        </w:rPr>
        <w:t>6. Accuracy Tiering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F4DDF" w:rsidRPr="00E36A50" w14:paraId="221783E2" w14:textId="77777777" w:rsidTr="00E36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3B7DEA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Tier</w:t>
            </w:r>
          </w:p>
        </w:tc>
        <w:tc>
          <w:tcPr>
            <w:tcW w:w="4320" w:type="dxa"/>
          </w:tcPr>
          <w:p w14:paraId="6E5A87C5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Banks</w:t>
            </w:r>
          </w:p>
        </w:tc>
      </w:tr>
      <w:tr w:rsidR="007F4DDF" w:rsidRPr="00E36A50" w14:paraId="2F1C7E9D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2B3D8E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Green (&lt;=7%)</w:t>
            </w:r>
          </w:p>
        </w:tc>
        <w:tc>
          <w:tcPr>
            <w:tcW w:w="4320" w:type="dxa"/>
          </w:tcPr>
          <w:p w14:paraId="44E5633A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ICICI (CC/DC), IndusInd (CC), SBI (CC/DC), HDFC (CC/DC),</w:t>
            </w:r>
            <w:r w:rsidRPr="00E36A50">
              <w:rPr>
                <w:color w:val="000000" w:themeColor="text1"/>
                <w:sz w:val="18"/>
              </w:rPr>
              <w:br/>
              <w:t>Axis (CC/DC), UCO (DC), BoB (DC), IOB (DC)</w:t>
            </w:r>
          </w:p>
        </w:tc>
      </w:tr>
      <w:tr w:rsidR="007F4DDF" w:rsidRPr="00E36A50" w14:paraId="7527044D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321F01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Amber (7%-15%)</w:t>
            </w:r>
          </w:p>
        </w:tc>
        <w:tc>
          <w:tcPr>
            <w:tcW w:w="4320" w:type="dxa"/>
          </w:tcPr>
          <w:p w14:paraId="64DC5EA0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HSBC (CC), CBI (DC), Kotak (DC), BoI (DC)</w:t>
            </w:r>
          </w:p>
        </w:tc>
      </w:tr>
      <w:tr w:rsidR="007F4DDF" w:rsidRPr="00E36A50" w14:paraId="74F1517A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DCF88D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Red (&gt;15%)</w:t>
            </w:r>
          </w:p>
        </w:tc>
        <w:tc>
          <w:tcPr>
            <w:tcW w:w="4320" w:type="dxa"/>
          </w:tcPr>
          <w:p w14:paraId="5C383FB8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Kotak (CC), BoB (CC), Paytm (DC)</w:t>
            </w:r>
          </w:p>
        </w:tc>
      </w:tr>
      <w:tr w:rsidR="007F4DDF" w:rsidRPr="00E36A50" w14:paraId="558EC6A0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CFBB24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Pending CV</w:t>
            </w:r>
          </w:p>
        </w:tc>
        <w:tc>
          <w:tcPr>
            <w:tcW w:w="4320" w:type="dxa"/>
          </w:tcPr>
          <w:p w14:paraId="044B3DCE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 Bank (CC), Canara (CC/DC), Union Bank (DC),</w:t>
            </w:r>
            <w:r w:rsidRPr="00E36A50">
              <w:rPr>
                <w:color w:val="000000" w:themeColor="text1"/>
                <w:sz w:val="18"/>
              </w:rPr>
              <w:br/>
              <w:t>PNB (DC), Indian Bank (DC)</w:t>
            </w:r>
          </w:p>
        </w:tc>
      </w:tr>
    </w:tbl>
    <w:p w14:paraId="6166CA34" w14:textId="77777777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t>Red-tier banks are in rapid growth or high-volatility phases. Dynamic logistic growth caps are computed from trailing 12-month growth to constrain over-forecasting. Pending-CV banks are generating forecasts but lack sufficient history for cross-validation.</w:t>
      </w:r>
    </w:p>
    <w:p w14:paraId="3F68242D" w14:textId="77777777" w:rsidR="007F4DDF" w:rsidRPr="00E36A50" w:rsidRDefault="007F4DDF">
      <w:pPr>
        <w:rPr>
          <w:color w:val="000000" w:themeColor="text1"/>
        </w:rPr>
      </w:pPr>
    </w:p>
    <w:p w14:paraId="1940B2C8" w14:textId="77777777" w:rsidR="007F4DDF" w:rsidRPr="00E36A50" w:rsidRDefault="00000000">
      <w:pPr>
        <w:pStyle w:val="Heading1"/>
        <w:rPr>
          <w:color w:val="000000" w:themeColor="text1"/>
        </w:rPr>
      </w:pPr>
      <w:r w:rsidRPr="00E36A50">
        <w:rPr>
          <w:color w:val="000000" w:themeColor="text1"/>
        </w:rPr>
        <w:lastRenderedPageBreak/>
        <w:t>7. Key Takeaways</w:t>
      </w:r>
    </w:p>
    <w:p w14:paraId="621773BA" w14:textId="77777777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t>1. 25 individual bank models (10 CC + 15 DC) cover 91% CC and 83% DC of India outstanding</w:t>
      </w:r>
    </w:p>
    <w:p w14:paraId="38BF94F1" w14:textId="40D4DC99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t xml:space="preserve">2. Of the 19 banks with validated CV, 15 are under 10% MAPE </w:t>
      </w:r>
      <w:r w:rsidR="00E36A50">
        <w:rPr>
          <w:color w:val="000000" w:themeColor="text1"/>
        </w:rPr>
        <w:t>-</w:t>
      </w:r>
      <w:r w:rsidRPr="00E36A50">
        <w:rPr>
          <w:color w:val="000000" w:themeColor="text1"/>
        </w:rPr>
        <w:t xml:space="preserve"> well within industry-acceptable range</w:t>
      </w:r>
    </w:p>
    <w:p w14:paraId="28C1AA62" w14:textId="761C5FF5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t xml:space="preserve">3. Aggregate OOS accuracy is strong </w:t>
      </w:r>
      <w:r w:rsidR="00E36A50">
        <w:rPr>
          <w:color w:val="000000" w:themeColor="text1"/>
        </w:rPr>
        <w:t>-</w:t>
      </w:r>
      <w:r w:rsidRPr="00E36A50">
        <w:rPr>
          <w:color w:val="000000" w:themeColor="text1"/>
        </w:rPr>
        <w:t xml:space="preserve"> ground-up sum achieves &lt;2% MAPE at India level over 6 months</w:t>
      </w:r>
    </w:p>
    <w:p w14:paraId="28B23A5C" w14:textId="6C89D711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t xml:space="preserve">4. Dual-model approach validated </w:t>
      </w:r>
      <w:r w:rsidR="00E36A50">
        <w:rPr>
          <w:color w:val="000000" w:themeColor="text1"/>
        </w:rPr>
        <w:t>-</w:t>
      </w:r>
      <w:r w:rsidRPr="00E36A50">
        <w:rPr>
          <w:color w:val="000000" w:themeColor="text1"/>
        </w:rPr>
        <w:t xml:space="preserve"> ETS outperforms Prophet by 0.5-3.3pp on stable-growth banks</w:t>
      </w:r>
    </w:p>
    <w:p w14:paraId="58759D35" w14:textId="22DA2D6F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t xml:space="preserve">5. 6 banks (Yes Bank CC, Canara CC/DC, Union Bank DC, PNB DC, Indian Bank DC) are pending CV </w:t>
      </w:r>
      <w:r w:rsidR="00E36A50">
        <w:rPr>
          <w:color w:val="000000" w:themeColor="text1"/>
        </w:rPr>
        <w:t>-</w:t>
      </w:r>
      <w:r w:rsidRPr="00E36A50">
        <w:rPr>
          <w:color w:val="000000" w:themeColor="text1"/>
        </w:rPr>
        <w:t xml:space="preserve"> their post-merger training windows will cross the 72-month threshold by mid-2026</w:t>
      </w:r>
    </w:p>
    <w:p w14:paraId="331CE687" w14:textId="77777777" w:rsidR="007F4DDF" w:rsidRDefault="00000000">
      <w:r w:rsidRPr="00E36A50">
        <w:rPr>
          <w:color w:val="000000" w:themeColor="text1"/>
        </w:rPr>
        <w:t>6. 90% CI coverage at aggregate level is 83-100%, confirming prediction intervals are</w:t>
      </w:r>
      <w:r>
        <w:t xml:space="preserve"> well-calibrated</w:t>
      </w:r>
    </w:p>
    <w:sectPr w:rsidR="007F4D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7019073">
    <w:abstractNumId w:val="8"/>
  </w:num>
  <w:num w:numId="2" w16cid:durableId="434325305">
    <w:abstractNumId w:val="6"/>
  </w:num>
  <w:num w:numId="3" w16cid:durableId="1408191678">
    <w:abstractNumId w:val="5"/>
  </w:num>
  <w:num w:numId="4" w16cid:durableId="253051420">
    <w:abstractNumId w:val="4"/>
  </w:num>
  <w:num w:numId="5" w16cid:durableId="1034501655">
    <w:abstractNumId w:val="7"/>
  </w:num>
  <w:num w:numId="6" w16cid:durableId="1766801185">
    <w:abstractNumId w:val="3"/>
  </w:num>
  <w:num w:numId="7" w16cid:durableId="370499526">
    <w:abstractNumId w:val="2"/>
  </w:num>
  <w:num w:numId="8" w16cid:durableId="756369922">
    <w:abstractNumId w:val="1"/>
  </w:num>
  <w:num w:numId="9" w16cid:durableId="1940286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3A4F"/>
    <w:rsid w:val="0054164F"/>
    <w:rsid w:val="005500A0"/>
    <w:rsid w:val="005C511A"/>
    <w:rsid w:val="007F4DDF"/>
    <w:rsid w:val="00AA1D8D"/>
    <w:rsid w:val="00B47730"/>
    <w:rsid w:val="00CB0664"/>
    <w:rsid w:val="00E36A50"/>
    <w:rsid w:val="00E63A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C4F303"/>
  <w14:defaultImageDpi w14:val="300"/>
  <w15:docId w15:val="{2427AD59-5055-4380-96E5-382513F46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Eshaan Adyanthaya</cp:lastModifiedBy>
  <cp:revision>2</cp:revision>
  <dcterms:created xsi:type="dcterms:W3CDTF">2026-06-23T10:24:00Z</dcterms:created>
  <dcterms:modified xsi:type="dcterms:W3CDTF">2026-06-23T10:24:00Z</dcterms:modified>
  <cp:category/>
</cp:coreProperties>
</file>