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FOR SOFTWARE DEVELOPMENT ONLY. This document is not a policy of The Manipal Group or of any real organisation.</w:t>
      </w:r>
    </w:p>
    <w:p>
      <w:pPr>
        <w:pStyle w:val="Title"/>
      </w:pPr>
      <w:r>
        <w:t>Travel and Reimbursement Policy (v1)</w:t>
      </w:r>
    </w:p>
    <w:p>
      <w:r>
        <w:t>Organisation: Demo Health Services (fictional). Policy owner: Finance and HR. Effective from 1 February 2026.</w:t>
      </w:r>
    </w:p>
    <w:p>
      <w:pPr>
        <w:pStyle w:val="Heading1"/>
      </w:pPr>
      <w:r>
        <w:t>1. Purpose</w:t>
      </w:r>
    </w:p>
    <w:p>
      <w:r>
        <w:t>This policy sets out allowances for official travel and the process for claiming reimbursement of travel expenses.</w:t>
      </w:r>
    </w:p>
    <w:p>
      <w:pPr>
        <w:pStyle w:val="Heading1"/>
      </w:pPr>
      <w:r>
        <w:t>2. Daily allowance</w:t>
      </w:r>
    </w:p>
    <w:p>
      <w:r>
        <w:t>The daily allowance depends on the employee's grade and the destination city.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Metro city (per day)</w:t>
            </w:r>
          </w:p>
        </w:tc>
        <w:tc>
          <w:tcPr>
            <w:tcW w:type="dxa" w:w="2880"/>
          </w:tcPr>
          <w:p>
            <w:r>
              <w:t>Other city (per day)</w:t>
            </w:r>
          </w:p>
        </w:tc>
      </w:tr>
      <w:tr>
        <w:tc>
          <w:tcPr>
            <w:tcW w:type="dxa" w:w="2880"/>
          </w:tcPr>
          <w:p>
            <w:r>
              <w:t>Grade A</w:t>
            </w:r>
          </w:p>
        </w:tc>
        <w:tc>
          <w:tcPr>
            <w:tcW w:type="dxa" w:w="2880"/>
          </w:tcPr>
          <w:p>
            <w:r>
              <w:t>INR 4,000</w:t>
            </w:r>
          </w:p>
        </w:tc>
        <w:tc>
          <w:tcPr>
            <w:tcW w:type="dxa" w:w="2880"/>
          </w:tcPr>
          <w:p>
            <w:r>
              <w:t>INR 3,000</w:t>
            </w:r>
          </w:p>
        </w:tc>
      </w:tr>
      <w:tr>
        <w:tc>
          <w:tcPr>
            <w:tcW w:type="dxa" w:w="2880"/>
          </w:tcPr>
          <w:p>
            <w:r>
              <w:t>Grade B</w:t>
            </w:r>
          </w:p>
        </w:tc>
        <w:tc>
          <w:tcPr>
            <w:tcW w:type="dxa" w:w="2880"/>
          </w:tcPr>
          <w:p>
            <w:r>
              <w:t>INR 3,000</w:t>
            </w:r>
          </w:p>
        </w:tc>
        <w:tc>
          <w:tcPr>
            <w:tcW w:type="dxa" w:w="2880"/>
          </w:tcPr>
          <w:p>
            <w:r>
              <w:t>INR 2,200</w:t>
            </w:r>
          </w:p>
        </w:tc>
      </w:tr>
      <w:tr>
        <w:tc>
          <w:tcPr>
            <w:tcW w:type="dxa" w:w="2880"/>
          </w:tcPr>
          <w:p>
            <w:r>
              <w:t>Grade C</w:t>
            </w:r>
          </w:p>
        </w:tc>
        <w:tc>
          <w:tcPr>
            <w:tcW w:type="dxa" w:w="2880"/>
          </w:tcPr>
          <w:p>
            <w:r>
              <w:t>INR 2,000</w:t>
            </w:r>
          </w:p>
        </w:tc>
        <w:tc>
          <w:tcPr>
            <w:tcW w:type="dxa" w:w="2880"/>
          </w:tcPr>
          <w:p>
            <w:r>
              <w:t>INR 1,500</w:t>
            </w:r>
          </w:p>
        </w:tc>
      </w:tr>
    </w:tbl>
    <w:p>
      <w:pPr>
        <w:pStyle w:val="Heading1"/>
      </w:pPr>
      <w:r>
        <w:t>3. Approval before travel</w:t>
      </w:r>
    </w:p>
    <w:p>
      <w:r>
        <w:t>All official travel requires a travel request approved by the reporting manager before tickets are booked. International travel also requires approval from the department head.</w:t>
      </w:r>
    </w:p>
    <w:p>
      <w:pPr>
        <w:pStyle w:val="Heading1"/>
      </w:pPr>
      <w:r>
        <w:t>4. Submitting a claim</w:t>
      </w:r>
    </w:p>
    <w:p>
      <w:pPr>
        <w:pStyle w:val="Heading2"/>
      </w:pPr>
      <w:r>
        <w:t>4.1 Deadline</w:t>
      </w:r>
    </w:p>
    <w:p>
      <w:r>
        <w:t>Claims must be submitted within 15 calendar days of returning from travel. Claims submitted later are not reimbursed unless the department head approves an exception.</w:t>
      </w:r>
    </w:p>
    <w:p>
      <w:pPr>
        <w:pStyle w:val="Heading2"/>
      </w:pPr>
      <w:r>
        <w:t>4.2 Documents required</w:t>
      </w:r>
    </w:p>
    <w:p>
      <w:pPr>
        <w:pStyle w:val="ListBullet"/>
      </w:pPr>
      <w:r>
        <w:t>The approved travel request.</w:t>
      </w:r>
    </w:p>
    <w:p>
      <w:pPr>
        <w:pStyle w:val="ListBullet"/>
      </w:pPr>
      <w:r>
        <w:t>Boarding passes or tickets for all journeys.</w:t>
      </w:r>
    </w:p>
    <w:p>
      <w:pPr>
        <w:pStyle w:val="ListBullet"/>
      </w:pPr>
      <w:r>
        <w:t>Original hotel invoices showing the employee's name.</w:t>
      </w:r>
    </w:p>
    <w:p>
      <w:pPr>
        <w:pStyle w:val="ListBullet"/>
      </w:pPr>
      <w:r>
        <w:t>Receipts for local conveyance above INR 500.</w:t>
      </w:r>
    </w:p>
    <w:p>
      <w:pPr>
        <w:pStyle w:val="Heading2"/>
      </w:pPr>
      <w:r>
        <w:t>4.3 Approval and payment</w:t>
      </w:r>
    </w:p>
    <w:p>
      <w:r>
        <w:t>Claims are approved by the reporting manager and then verified by Finance. Payment is usually made within 10 working days of verification; this is an estimate, not a guarantee.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travel-reimbursement-policy-v1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