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
    <w:p>
      <w:pPr>
        <w:pStyle w:val="Title"/>
        <w:spacing w:after="40"/>
      </w:pPr>
      <w:r>
        <w:rPr>
          <w:rFonts w:ascii="Helvetica Neue" w:hAnsi="Helvetica Neue"/>
        </w:rPr>
        <w:t>IMAGE TRACE</w:t>
      </w:r>
    </w:p>
    <w:p>
      <w:pPr>
        <w:pStyle w:val="Title"/>
      </w:pPr>
      <w:r>
        <w:rPr>
          <w:rFonts w:ascii="Helvetica Neue" w:hAnsi="Helvetica Neue"/>
          <w:b/>
          <w:color w:val="17324D"/>
          <w:sz w:val="60"/>
        </w:rPr>
        <w:t>Project Guide and System Methodology</w:t>
      </w:r>
    </w:p>
    <w:p/>
    <w:p/>
    <w:p/>
    <w:p/>
    <w:p/>
    <w:p/>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3408"/>
            <w:shd w:fill="FFFFFF"/>
            <w:tcMar>
              <w:top w:w="110" w:type="dxa"/>
              <w:start w:w="90" w:type="dxa"/>
              <w:bottom w:w="110" w:type="dxa"/>
              <w:end w:w="90" w:type="dxa"/>
            </w:tcMar>
          </w:tcPr>
          <w:p>
            <w:r/>
            <w:r>
              <w:rPr>
                <w:b/>
                <w:color w:val="50667B"/>
                <w:sz w:val="16"/>
              </w:rPr>
              <w:t>STATUS</w:t>
            </w:r>
          </w:p>
          <w:p>
            <w:pPr>
              <w:spacing w:before="100"/>
            </w:pPr>
            <w:r>
              <w:rPr>
                <w:sz w:val="18"/>
              </w:rPr>
              <w:t>Completed local application</w:t>
            </w:r>
          </w:p>
        </w:tc>
        <w:tc>
          <w:tcPr>
            <w:tcW w:type="dxa" w:w="3408"/>
            <w:shd w:fill="FFFFFF"/>
            <w:tcMar>
              <w:top w:w="110" w:type="dxa"/>
              <w:start w:w="90" w:type="dxa"/>
              <w:bottom w:w="110" w:type="dxa"/>
              <w:end w:w="90" w:type="dxa"/>
            </w:tcMar>
          </w:tcPr>
          <w:p>
            <w:r/>
            <w:r>
              <w:rPr>
                <w:b/>
                <w:color w:val="50667B"/>
                <w:sz w:val="16"/>
              </w:rPr>
              <w:t>OWNER</w:t>
            </w:r>
          </w:p>
          <w:p>
            <w:pPr>
              <w:spacing w:before="100"/>
            </w:pPr>
            <w:r>
              <w:rPr>
                <w:sz w:val="18"/>
              </w:rPr>
              <w:t>Eshaan Sarkhawas</w:t>
            </w:r>
          </w:p>
        </w:tc>
        <w:tc>
          <w:tcPr>
            <w:tcW w:type="dxa" w:w="3408"/>
            <w:shd w:fill="FFFFFF"/>
            <w:tcMar>
              <w:top w:w="110" w:type="dxa"/>
              <w:start w:w="90" w:type="dxa"/>
              <w:bottom w:w="110" w:type="dxa"/>
              <w:end w:w="90" w:type="dxa"/>
            </w:tcMar>
          </w:tcPr>
          <w:p>
            <w:r/>
            <w:r>
              <w:rPr>
                <w:b/>
                <w:color w:val="50667B"/>
                <w:sz w:val="16"/>
              </w:rPr>
              <w:t>LAST UPDATED</w:t>
            </w:r>
          </w:p>
          <w:p>
            <w:pPr>
              <w:spacing w:before="100"/>
            </w:pPr>
            <w:r>
              <w:rPr>
                <w:sz w:val="18"/>
              </w:rPr>
              <w:t>September 10, 2026</w:t>
            </w:r>
          </w:p>
        </w:tc>
      </w:tr>
    </w:tbl>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trPr>
        <w:tc>
          <w:tcPr>
            <w:tcW w:type="dxa" w:w="187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Authors</w:t>
            </w:r>
          </w:p>
        </w:tc>
        <w:tc>
          <w:tcPr>
            <w:tcW w:type="dxa" w:w="835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Eshaan Sarkhawas and Codex</w:t>
            </w:r>
          </w:p>
        </w:tc>
      </w:tr>
      <w:tr>
        <w:tc>
          <w:tcPr>
            <w:tcW w:type="dxa" w:w="18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Related source</w:t>
            </w:r>
          </w:p>
        </w:tc>
        <w:tc>
          <w:tcPr>
            <w:tcW w:type="dxa" w:w="83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github.com/EshaanS013/image-trace</w:t>
            </w:r>
          </w:p>
        </w:tc>
      </w:tr>
      <w:tr>
        <w:tc>
          <w:tcPr>
            <w:tcW w:type="dxa" w:w="187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Public demonstration</w:t>
            </w:r>
          </w:p>
        </w:tc>
        <w:tc>
          <w:tcPr>
            <w:tcW w:type="dxa" w:w="835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image-trace-demo.eshaansarkhawas007.chatgpt.site</w:t>
            </w:r>
          </w:p>
        </w:tc>
      </w:tr>
      <w:tr>
        <w:tc>
          <w:tcPr>
            <w:tcW w:type="dxa" w:w="18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Scope</w:t>
            </w:r>
          </w:p>
        </w:tc>
        <w:tc>
          <w:tcPr>
            <w:tcW w:type="dxa" w:w="83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Architecture, workflows, methodology, responsible uses, verification, operation, and limitations</w:t>
            </w:r>
          </w:p>
        </w:tc>
      </w:tr>
    </w:tbl>
    <w:p>
      <w:r>
        <w:rPr>
          <w:rFonts w:ascii="Helvetica Neue" w:hAnsi="Helvetica Neue"/>
          <w:sz w:val="21"/>
        </w:rPr>
        <w:br w:type="page"/>
      </w:r>
    </w:p>
    <w:p>
      <w:pPr>
        <w:pStyle w:val="Heading1"/>
        <w:keepNext/>
      </w:pPr>
      <w:r>
        <w:rPr>
          <w:rFonts w:ascii="Helvetica Neue" w:hAnsi="Helvetica Neue"/>
        </w:rPr>
        <w:t>1 Abstract</w:t>
      </w:r>
    </w:p>
    <w:p>
      <w:pPr>
        <w:spacing w:after="140" w:line="269" w:lineRule="auto"/>
      </w:pPr>
      <w:r>
        <w:rPr>
          <w:rFonts w:ascii="Helvetica Neue" w:hAnsi="Helvetica Neue"/>
          <w:sz w:val="21"/>
        </w:rPr>
        <w:t>IMAGE TRACE is a complete local-first application for controlled analysis of image collections. It preserves accepted originals, records acquisition hashes and custody events, extracts hostile-input-safe metadata, reconstructs qualified chronology and routes, applies transparent versioned rules, records human review, and generates analysis-bound PDF reports with separate SHA-256 manifests.</w:t>
      </w:r>
    </w:p>
    <w:p>
      <w:pPr>
        <w:spacing w:after="140" w:line="269" w:lineRule="auto"/>
      </w:pPr>
      <w:r>
        <w:rPr>
          <w:rFonts w:ascii="Helvetica Neue" w:hAnsi="Helvetica Neue"/>
          <w:sz w:val="21"/>
        </w:rPr>
        <w:t>The central design choice is to keep evidence processing on the analyst's computer. The public website is a demonstration surface built from synthetic screenshots; it does not accept evidence. The operational application uses a React and TypeScript client, a FastAPI and SQLAlchemy service, SQLite in WAL mode, and controlled filesystem storage. This guide explains the system, the methodology behind its results, how to run it, and the limits that govern responsible interpretation.</w:t>
      </w:r>
    </w:p>
    <w:p>
      <w:pPr>
        <w:pStyle w:val="Heading1"/>
        <w:keepNext/>
      </w:pPr>
      <w:r>
        <w:rPr>
          <w:rFonts w:ascii="Helvetica Neue" w:hAnsi="Helvetica Neue"/>
        </w:rPr>
        <w:t>2 Purpose and Responsible Uses</w:t>
      </w:r>
    </w:p>
    <w:p>
      <w:pPr>
        <w:spacing w:after="140" w:line="269" w:lineRule="auto"/>
      </w:pPr>
      <w:r>
        <w:rPr>
          <w:rFonts w:ascii="Helvetica Neue" w:hAnsi="Helvetica Neue"/>
          <w:sz w:val="21"/>
        </w:rPr>
        <w:t>The project helps an analyst answer a narrow question: what do the available metadata and image characteristics indicate about time, location, reported source device, byte integrity, and items that deserve qualified review? It organizes evidence and calculations so that another reviewer can reconstruct how each displayed result was obtained.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trPr>
        <w:tc>
          <w:tcPr>
            <w:tcW w:type="dxa" w:w="49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Suitable uses</w:t>
            </w:r>
          </w:p>
        </w:tc>
        <w:tc>
          <w:tcPr>
            <w:tcW w:type="dxa" w:w="49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Uses outside the product scope</w:t>
            </w:r>
          </w:p>
        </w:tc>
      </w:tr>
      <w:tr>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Computer engineering coursework and demonstrations</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Stalking, covert surveillance, or locating people without consent</w:t>
            </w:r>
          </w:p>
        </w:tc>
      </w:tr>
      <w:tr>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Consented metadata inspection and evidence organization</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A definitive claim that an image is authentic, false, or manipulated</w:t>
            </w:r>
          </w:p>
        </w:tc>
      </w:tr>
      <w:tr>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Internal audit preparation and repeatable case review</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Court certification or legal conclusions</w:t>
            </w:r>
          </w:p>
        </w:tc>
      </w:tr>
      <w:tr>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Synthetic training fixtures and software testing</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Device attribution based only on make and model metadata</w:t>
            </w:r>
          </w:p>
        </w:tc>
      </w:tr>
    </w:tbl>
    <w:p>
      <w:pPr>
        <w:spacing w:after="0"/>
      </w:pPr>
    </w:p>
    <w:p>
      <w:pPr>
        <w:spacing w:after="140" w:line="269" w:lineRule="auto"/>
      </w:pPr>
      <w:r>
        <w:rPr>
          <w:rFonts w:ascii="Helvetica Neue" w:hAnsi="Helvetica Neue"/>
          <w:b/>
          <w:sz w:val="21"/>
        </w:rPr>
        <w:t>Every output must be read as evidence about recorded bytes and metadata, not as proof of the event depicted. Missing GPS is an absence statement. An editing-software tag establishes only that the tag value is present. A derived route describes selected coordinates and timestamps, not observed physical travel.</w:t>
      </w:r>
      <w:r>
        <w:rPr>
          <w:rFonts w:ascii="Helvetica Neue" w:hAnsi="Helvetica Neue"/>
          <w:sz w:val="21"/>
        </w:rPr>
        <w:t xml:space="preserve">Interpretation rule. </w:t>
      </w:r>
    </w:p>
    <w:p>
      <w:pPr>
        <w:pStyle w:val="Heading1"/>
        <w:keepNext/>
      </w:pPr>
      <w:r>
        <w:rPr>
          <w:rFonts w:ascii="Helvetica Neue" w:hAnsi="Helvetica Neue"/>
        </w:rPr>
        <w:t>3 Goals and Non Goals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trPr>
        <w:tc>
          <w:tcPr>
            <w:tcW w:type="dxa" w:w="49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Goals</w:t>
            </w:r>
          </w:p>
        </w:tc>
        <w:tc>
          <w:tcPr>
            <w:tcW w:type="dxa" w:w="49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Non goals</w:t>
            </w:r>
          </w:p>
        </w:tc>
      </w:tr>
      <w:tr>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Preserve each accepted original without recompression, rotation, or metadata stripping</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Replace a certified forensic imaging process</w:t>
            </w:r>
          </w:p>
        </w:tc>
      </w:tr>
      <w:tr>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Make each hash, timestamp choice, rule, threshold, and review transition inspectable</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Infer guilt, intent, authorship, or image truth</w:t>
            </w:r>
          </w:p>
        </w:tc>
      </w:tr>
      <w:tr>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Support a complete local case-to-report workflow without a paid service</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Provide multi-tenant cloud evidence storage</w:t>
            </w:r>
          </w:p>
        </w:tc>
      </w:tr>
      <w:tr>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Use synthetic or consented evidence and privacy-safe map defaults</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Silently contact external mapping or metadata services</w:t>
            </w:r>
          </w:p>
        </w:tc>
      </w:tr>
      <w:tr>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Keep historical analysis runs and review events immutable</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Rewrite old findings when a rule or threshold changes</w:t>
            </w:r>
          </w:p>
        </w:tc>
      </w:tr>
    </w:tbl>
    <w:p>
      <w:pPr>
        <w:spacing w:after="0"/>
      </w:pPr>
    </w:p>
    <w:p>
      <w:pPr>
        <w:pStyle w:val="Heading1"/>
        <w:keepNext/>
      </w:pPr>
      <w:r>
        <w:rPr>
          <w:rFonts w:ascii="Helvetica Neue" w:hAnsi="Helvetica Neue"/>
        </w:rPr>
        <w:t>4 System Architecture</w:t>
      </w:r>
    </w:p>
    <w:p>
      <w:pPr>
        <w:spacing w:after="140" w:line="269" w:lineRule="auto"/>
      </w:pPr>
      <w:r>
        <w:rPr>
          <w:rFonts w:ascii="Helvetica Neue" w:hAnsi="Helvetica Neue"/>
          <w:sz w:val="21"/>
        </w:rPr>
        <w:t>The browser client communicates only with the versioned REST API. FastAPI route handlers validate request contracts and delegate behavior to domain services. Records and audit history live in SQLite; original bytes, derivatives, reports, and exports use separate controlled storage roots. The frontend never receives an absolute local storage path.</w:t>
      </w:r>
    </w:p>
    <w:p>
      <w:pPr>
        <w:jc w:val="center"/>
      </w:pPr>
      <w:r>
        <w:rPr>
          <w:rFonts w:ascii="Helvetica Neue" w:hAnsi="Helvetica Neue"/>
          <w:sz w:val="21"/>
        </w:rPr>
        <w:drawing>
          <wp:inline>
            <wp:extent cx="6400800" cy="3120390"/>
            <wp:docPr id="1" name="Picture 1" descr="IMAGE TRACE local-first system architecture" title="IMAGE TRACE local-first system architecture"/>
            <wp:cNvGraphicFramePr>
              <a:graphicFrameLocks noChangeAspect="1"/>
            </wp:cNvGraphicFramePr>
            <a:graphic>
              <a:graphicData uri="http://schemas.openxmlformats.org/drawingml/2006/picture">
                <pic:pic>
                  <pic:nvPicPr>
                    <pic:cNvPr id="0" name="image-trace-architecture.png"/>
                    <pic:cNvPicPr/>
                  </pic:nvPicPr>
                  <pic:blipFill>
                    <a:blip r:embed="rId7"/>
                    <a:stretch>
                      <a:fillRect/>
                    </a:stretch>
                  </pic:blipFill>
                  <pic:spPr>
                    <a:xfrm>
                      <a:off x="0" y="0"/>
                      <a:ext cx="6400800" cy="3120390"/>
                    </a:xfrm>
                    <a:prstGeom prst="rect"/>
                  </pic:spPr>
                </pic:pic>
              </a:graphicData>
            </a:graphic>
          </wp:inline>
        </w:drawing>
      </w:r>
    </w:p>
    <w:p>
      <w:pPr>
        <w:keepNext w:val="0"/>
        <w:spacing w:before="60" w:after="200"/>
        <w:jc w:val="center"/>
      </w:pPr>
      <w:r>
        <w:rPr>
          <w:rFonts w:ascii="Helvetica Neue" w:hAnsi="Helvetica Neue"/>
          <w:i/>
          <w:color w:val="50667B"/>
          <w:sz w:val="18"/>
        </w:rPr>
        <w:t>Figure 1  Local system architecture and evidence boundaries</w:t>
      </w:r>
    </w:p>
    <w:p>
      <w:pPr>
        <w:pStyle w:val="Heading2"/>
        <w:keepNext/>
      </w:pPr>
      <w:r>
        <w:rPr>
          <w:rFonts w:ascii="Helvetica Neue" w:hAnsi="Helvetica Neue"/>
        </w:rPr>
        <w:t>Core components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rPr>
          <w:tblHeader w:val="true"/>
        </w:trPr>
        <w:tc>
          <w:tcPr>
            <w:tcW w:type="dxa" w:w="158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Component</w:t>
            </w:r>
          </w:p>
        </w:tc>
        <w:tc>
          <w:tcPr>
            <w:tcW w:type="dxa" w:w="338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Responsibility</w:t>
            </w:r>
          </w:p>
        </w:tc>
        <w:tc>
          <w:tcPr>
            <w:tcW w:type="dxa" w:w="216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Primary state</w:t>
            </w:r>
          </w:p>
        </w:tc>
        <w:tc>
          <w:tcPr>
            <w:tcW w:type="dxa" w:w="288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Failure behavior</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React workspace</w:t>
            </w:r>
          </w:p>
        </w:tc>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Case navigation, evidence inspection, timeline, map, findings, custody, and reports</w:t>
            </w:r>
          </w:p>
        </w:tc>
        <w:tc>
          <w:tcPr>
            <w:tcW w:type="dxa" w:w="216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TanStack Query cache and view state</w:t>
            </w:r>
          </w:p>
        </w:tc>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Shows typed loading and error states without exposing paths</w:t>
            </w:r>
          </w:p>
        </w:tc>
      </w:tr>
      <w:tr>
        <w:tc>
          <w:tcPr>
            <w:tcW w:type="dxa" w:w="15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FastAPI boundary</w:t>
            </w:r>
          </w:p>
        </w:tc>
        <w:tc>
          <w:tcPr>
            <w:tcW w:type="dxa" w:w="33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Versioned HTTP contracts, identifier validation, pagination, and safe errors</w:t>
            </w:r>
          </w:p>
        </w:tc>
        <w:tc>
          <w:tcPr>
            <w:tcW w:type="dxa" w:w="216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Request and response models</w:t>
            </w:r>
          </w:p>
        </w:tc>
        <w:tc>
          <w:tcPr>
            <w:tcW w:type="dxa" w:w="288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Rejects invalid input and suppresses stack traces</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Evidence services</w:t>
            </w:r>
          </w:p>
        </w:tc>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Validation, immutable copy, hash, metadata, thumbnail, and custody registration</w:t>
            </w:r>
          </w:p>
        </w:tc>
        <w:tc>
          <w:tcPr>
            <w:tcW w:type="dxa" w:w="216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SQLite plus controlled storage</w:t>
            </w:r>
          </w:p>
        </w:tc>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One invalid file can fail without aborting a valid batch</w:t>
            </w:r>
          </w:p>
        </w:tc>
      </w:tr>
      <w:tr>
        <w:tc>
          <w:tcPr>
            <w:tcW w:type="dxa" w:w="15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Analysis services</w:t>
            </w:r>
          </w:p>
        </w:tc>
        <w:tc>
          <w:tcPr>
            <w:tcW w:type="dxa" w:w="33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Immutable runs, rule evaluation, geography, and finding support</w:t>
            </w:r>
          </w:p>
        </w:tc>
        <w:tc>
          <w:tcPr>
            <w:tcW w:type="dxa" w:w="216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Versioned run configuration</w:t>
            </w:r>
          </w:p>
        </w:tc>
        <w:tc>
          <w:tcPr>
            <w:tcW w:type="dxa" w:w="288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Failed runs retain status and safe summaries</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 service</w:t>
            </w:r>
          </w:p>
        </w:tc>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HTML preview, PDF creation, final hash, manifest, and custody event</w:t>
            </w:r>
          </w:p>
        </w:tc>
        <w:tc>
          <w:tcPr>
            <w:tcW w:type="dxa" w:w="216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Reports storage and generated report record</w:t>
            </w:r>
          </w:p>
        </w:tc>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No report is presented as complete until finalization and hashing succeed</w:t>
            </w:r>
          </w:p>
        </w:tc>
      </w:tr>
    </w:tbl>
    <w:p>
      <w:pPr>
        <w:spacing w:after="0"/>
      </w:pPr>
    </w:p>
    <w:p>
      <w:pPr>
        <w:pStyle w:val="Heading1"/>
        <w:keepNext/>
      </w:pPr>
      <w:r>
        <w:rPr>
          <w:rFonts w:ascii="Helvetica Neue" w:hAnsi="Helvetica Neue"/>
        </w:rPr>
        <w:t>5 Data Flow from Evidence to Report</w:t>
      </w:r>
    </w:p>
    <w:p>
      <w:pPr>
        <w:spacing w:after="100"/>
      </w:pPr>
      <w:r>
        <w:rPr>
          <w:rFonts w:ascii="Helvetica Neue" w:hAnsi="Helvetica Neue"/>
          <w:b/>
          <w:sz w:val="21"/>
        </w:rPr>
        <w:t xml:space="preserve">1. </w:t>
      </w:r>
      <w:r>
        <w:rPr>
          <w:rFonts w:ascii="Helvetica Neue" w:hAnsi="Helvetica Neue"/>
          <w:sz w:val="21"/>
        </w:rPr>
        <w:t>The analyst creates a case with its name, number, description, analyst, and status.</w:t>
      </w:r>
    </w:p>
    <w:p>
      <w:pPr>
        <w:spacing w:after="100"/>
      </w:pPr>
      <w:r>
        <w:rPr>
          <w:rFonts w:ascii="Helvetica Neue" w:hAnsi="Helvetica Neue"/>
          <w:b/>
          <w:sz w:val="21"/>
        </w:rPr>
        <w:t xml:space="preserve">2. </w:t>
      </w:r>
      <w:r>
        <w:rPr>
          <w:rFonts w:ascii="Helvetica Neue" w:hAnsi="Helvetica Neue"/>
          <w:sz w:val="21"/>
        </w:rPr>
        <w:t>The upload boundary checks the submitted basename, supported extension, declared MIME type, image signature, full decode, byte size, pixel count, and controlled path containment.</w:t>
      </w:r>
    </w:p>
    <w:p>
      <w:pPr>
        <w:spacing w:after="100"/>
      </w:pPr>
      <w:r>
        <w:rPr>
          <w:rFonts w:ascii="Helvetica Neue" w:hAnsi="Helvetica Neue"/>
          <w:b/>
          <w:sz w:val="21"/>
        </w:rPr>
        <w:t xml:space="preserve">3. </w:t>
      </w:r>
      <w:r>
        <w:rPr>
          <w:rFonts w:ascii="Helvetica Neue" w:hAnsi="Helvetica Neue"/>
          <w:sz w:val="21"/>
        </w:rPr>
        <w:t>Accepted bytes are copied in chunks to a pending file, flushed, atomically renamed into a UUID-based evidence directory, and hashed with SHA-256 in chunks.</w:t>
      </w:r>
    </w:p>
    <w:p>
      <w:pPr>
        <w:spacing w:after="100"/>
      </w:pPr>
      <w:r>
        <w:rPr>
          <w:rFonts w:ascii="Helvetica Neue" w:hAnsi="Helvetica Neue"/>
          <w:b/>
          <w:sz w:val="21"/>
        </w:rPr>
        <w:t xml:space="preserve">4. </w:t>
      </w:r>
      <w:r>
        <w:rPr>
          <w:rFonts w:ascii="Helvetica Neue" w:hAnsi="Helvetica Neue"/>
          <w:sz w:val="21"/>
        </w:rPr>
        <w:t>The application records the evidence row, acquisition hash, normalized and raw metadata, initial custody event, and durable job state. A WebP thumbnail is generated as a derivative; the original is not altered.</w:t>
      </w:r>
    </w:p>
    <w:p>
      <w:pPr>
        <w:spacing w:after="100"/>
      </w:pPr>
      <w:r>
        <w:rPr>
          <w:rFonts w:ascii="Helvetica Neue" w:hAnsi="Helvetica Neue"/>
          <w:b/>
          <w:sz w:val="21"/>
        </w:rPr>
        <w:t xml:space="preserve">5. </w:t>
      </w:r>
      <w:r>
        <w:rPr>
          <w:rFonts w:ascii="Helvetica Neue" w:hAnsi="Helvetica Neue"/>
          <w:sz w:val="21"/>
        </w:rPr>
        <w:t>Timeline logic selects the strongest available time source and preserves its raw value, source, timezone status, confidence, and selection reason.</w:t>
      </w:r>
    </w:p>
    <w:p>
      <w:pPr>
        <w:spacing w:after="100"/>
      </w:pPr>
      <w:r>
        <w:rPr>
          <w:rFonts w:ascii="Helvetica Neue" w:hAnsi="Helvetica Neue"/>
          <w:b/>
          <w:sz w:val="21"/>
        </w:rPr>
        <w:t xml:space="preserve">6. </w:t>
      </w:r>
      <w:r>
        <w:rPr>
          <w:rFonts w:ascii="Helvetica Neue" w:hAnsi="Helvetica Neue"/>
          <w:sz w:val="21"/>
        </w:rPr>
        <w:t>Analysis creates an immutable run with application, analyzer, rule-set, build, threshold, and configuration details. Findings copy their rule version and supporting inputs.</w:t>
      </w:r>
    </w:p>
    <w:p>
      <w:pPr>
        <w:spacing w:after="100"/>
      </w:pPr>
      <w:r>
        <w:rPr>
          <w:rFonts w:ascii="Helvetica Neue" w:hAnsi="Helvetica Neue"/>
          <w:b/>
          <w:sz w:val="21"/>
        </w:rPr>
        <w:t xml:space="preserve">7. </w:t>
      </w:r>
      <w:r>
        <w:rPr>
          <w:rFonts w:ascii="Helvetica Neue" w:hAnsi="Helvetica Neue"/>
          <w:sz w:val="21"/>
        </w:rPr>
        <w:t>Analyst review appends disposition events. It never deletes the automated result or its historical context.</w:t>
      </w:r>
    </w:p>
    <w:p>
      <w:pPr>
        <w:spacing w:after="100"/>
      </w:pPr>
      <w:r>
        <w:rPr>
          <w:rFonts w:ascii="Helvetica Neue" w:hAnsi="Helvetica Neue"/>
          <w:b/>
          <w:sz w:val="21"/>
        </w:rPr>
        <w:t xml:space="preserve">8. </w:t>
      </w:r>
      <w:r>
        <w:rPr>
          <w:rFonts w:ascii="Helvetica Neue" w:hAnsi="Helvetica Neue"/>
          <w:sz w:val="21"/>
        </w:rPr>
        <w:t>Report generation renders one completed analysis run, finalizes the PDF, hashes that final byte sequence, and writes a separate manifest that lists the report and evidence hashes.</w:t>
      </w:r>
    </w:p>
    <w:p>
      <w:pPr>
        <w:pStyle w:val="Heading1"/>
        <w:keepNext/>
      </w:pPr>
      <w:r>
        <w:rPr>
          <w:rFonts w:ascii="Helvetica Neue" w:hAnsi="Helvetica Neue"/>
        </w:rPr>
        <w:t>6 Evidence Intake and Integrity Methodology</w:t>
      </w:r>
    </w:p>
    <w:p>
      <w:pPr>
        <w:spacing w:after="140" w:line="269" w:lineRule="auto"/>
      </w:pPr>
      <w:r>
        <w:rPr>
          <w:rFonts w:ascii="Helvetica Neue" w:hAnsi="Helvetica Neue"/>
          <w:sz w:val="21"/>
        </w:rPr>
        <w:t>Validation does not trust a filename alone. The server compares extension, declared MIME type, decoded image format, and actual image parsing. It applies configurable defaults of 100 MiB per file, 200 files per batch, and 100 megapixels per image. JPEG, PNG, WebP, and TIFF are supported in the default build; HEIC remains disabled unless a safe parser is installed.</w:t>
      </w:r>
    </w:p>
    <w:p>
      <w:pPr>
        <w:spacing w:after="140" w:line="269" w:lineRule="auto"/>
      </w:pPr>
      <w:r>
        <w:rPr>
          <w:rFonts w:ascii="Helvetica Neue" w:hAnsi="Helvetica Neue"/>
          <w:sz w:val="21"/>
        </w:rPr>
        <w:t>Storage keys use generated case and evidence identifiers. Submitted filenames remain escaped metadata and do not control disk paths. Root-containment checks reject traversal and symlink escape. Originals, derivatives, reports, and exports use separate roots. The frontend static server never exposes the originals directory.</w:t>
      </w:r>
    </w:p>
    <w:p>
      <w:pPr>
        <w:spacing w:after="140" w:line="269" w:lineRule="auto"/>
      </w:pPr>
      <w:r>
        <w:rPr>
          <w:rFonts w:ascii="Helvetica Neue" w:hAnsi="Helvetica Neue"/>
          <w:sz w:val="21"/>
        </w:rPr>
        <w:t>SHA-256 is calculated while streaming chunks, which avoids reading an entire file merely to hash it. The acquisition hash identifies the exact accepted byte sequence. A later verification pass calculates a current hash and compares it with the acquisition value. Equality establishes byte identity with the recorded copy; it does not establish the truth, date, authorship, or authenticity of image content.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187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Integrity state</w:t>
            </w:r>
          </w:p>
        </w:tc>
        <w:tc>
          <w:tcPr>
            <w:tcW w:type="dxa" w:w="460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Meaning</w:t>
            </w:r>
          </w:p>
        </w:tc>
        <w:tc>
          <w:tcPr>
            <w:tcW w:type="dxa" w:w="381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Required analyst response</w:t>
            </w:r>
          </w:p>
        </w:tc>
      </w:tr>
      <w:tr>
        <w:tc>
          <w:tcPr>
            <w:tcW w:type="dxa" w:w="18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Verified</w:t>
            </w:r>
          </w:p>
        </w:tc>
        <w:tc>
          <w:tcPr>
            <w:tcW w:type="dxa" w:w="460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Current bytes match the acquisition SHA-256</w:t>
            </w:r>
          </w:p>
        </w:tc>
        <w:tc>
          <w:tcPr>
            <w:tcW w:type="dxa" w:w="381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No integrity action required; continue contextual review</w:t>
            </w:r>
          </w:p>
        </w:tc>
      </w:tr>
      <w:tr>
        <w:tc>
          <w:tcPr>
            <w:tcW w:type="dxa" w:w="187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Mismatch</w:t>
            </w:r>
          </w:p>
        </w:tc>
        <w:tc>
          <w:tcPr>
            <w:tcW w:type="dxa" w:w="460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Current SHA-256 differs from the acquisition value</w:t>
            </w:r>
          </w:p>
        </w:tc>
        <w:tc>
          <w:tcPr>
            <w:tcW w:type="dxa" w:w="381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Review storage history and custody events before relying on the current file</w:t>
            </w:r>
          </w:p>
        </w:tc>
      </w:tr>
      <w:tr>
        <w:tc>
          <w:tcPr>
            <w:tcW w:type="dxa" w:w="18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Unknown</w:t>
            </w:r>
          </w:p>
        </w:tc>
        <w:tc>
          <w:tcPr>
            <w:tcW w:type="dxa" w:w="460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No completed comparison is available</w:t>
            </w:r>
          </w:p>
        </w:tc>
        <w:tc>
          <w:tcPr>
            <w:tcW w:type="dxa" w:w="381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Run verification when byte identity matters to the decision</w:t>
            </w:r>
          </w:p>
        </w:tc>
      </w:tr>
    </w:tbl>
    <w:p>
      <w:pPr>
        <w:spacing w:after="0"/>
      </w:pPr>
    </w:p>
    <w:p>
      <w:pPr>
        <w:pStyle w:val="Heading1"/>
        <w:keepNext/>
      </w:pPr>
      <w:r>
        <w:rPr>
          <w:rFonts w:ascii="Helvetica Neue" w:hAnsi="Helvetica Neue"/>
        </w:rPr>
        <w:t>7 Metadata Extraction and Normalization</w:t>
      </w:r>
    </w:p>
    <w:p>
      <w:pPr>
        <w:spacing w:after="140" w:line="269" w:lineRule="auto"/>
      </w:pPr>
      <w:r>
        <w:rPr>
          <w:rFonts w:ascii="Helvetica Neue" w:hAnsi="Helvetica Neue"/>
          <w:sz w:val="21"/>
        </w:rPr>
        <w:t>The metadata service treats all tags as untrusted input. It bounds and escapes stored values, retains a raw JSON representation for reconstruction, and writes normalized fields for repeatable filtering and analysis. Extraction warnings remain attached to the evidence record when a value is present but cannot be normalized safely.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194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Metadata group</w:t>
            </w:r>
          </w:p>
        </w:tc>
        <w:tc>
          <w:tcPr>
            <w:tcW w:type="dxa" w:w="432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Raw value retained</w:t>
            </w:r>
          </w:p>
        </w:tc>
        <w:tc>
          <w:tcPr>
            <w:tcW w:type="dxa" w:w="403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Normalized use</w:t>
            </w:r>
          </w:p>
        </w:tc>
      </w:tr>
      <w:tr>
        <w:tc>
          <w:tcPr>
            <w:tcW w:type="dxa" w:w="194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Capture time</w:t>
            </w:r>
          </w:p>
        </w:tc>
        <w:tc>
          <w:tcPr>
            <w:tcW w:type="dxa" w:w="432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DateTimeOriginal, DateTimeDigitized, GPS date and time</w:t>
            </w:r>
          </w:p>
        </w:tc>
        <w:tc>
          <w:tcPr>
            <w:tcW w:type="dxa" w:w="403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Qualified timeline timestamp and source confidence</w:t>
            </w:r>
          </w:p>
        </w:tc>
      </w:tr>
      <w:tr>
        <w:tc>
          <w:tcPr>
            <w:tcW w:type="dxa" w:w="194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Location</w:t>
            </w:r>
          </w:p>
        </w:tc>
        <w:tc>
          <w:tcPr>
            <w:tcW w:type="dxa" w:w="432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Latitude, longitude, altitude components</w:t>
            </w:r>
          </w:p>
        </w:tc>
        <w:tc>
          <w:tcPr>
            <w:tcW w:type="dxa" w:w="403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Coordinate display, distance, and route calculations</w:t>
            </w:r>
          </w:p>
        </w:tc>
      </w:tr>
      <w:tr>
        <w:tc>
          <w:tcPr>
            <w:tcW w:type="dxa" w:w="194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Camera</w:t>
            </w:r>
          </w:p>
        </w:tc>
        <w:tc>
          <w:tcPr>
            <w:tcW w:type="dxa" w:w="432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Make, model, lens, serial when present</w:t>
            </w:r>
          </w:p>
        </w:tc>
        <w:tc>
          <w:tcPr>
            <w:tcW w:type="dxa" w:w="403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Reported camera grouping and adjacent-source change checks</w:t>
            </w:r>
          </w:p>
        </w:tc>
      </w:tr>
      <w:tr>
        <w:tc>
          <w:tcPr>
            <w:tcW w:type="dxa" w:w="194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Exposure</w:t>
            </w:r>
          </w:p>
        </w:tc>
        <w:tc>
          <w:tcPr>
            <w:tcW w:type="dxa" w:w="432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Focal length, ISO, aperture, shutter speed</w:t>
            </w:r>
          </w:p>
        </w:tc>
        <w:tc>
          <w:tcPr>
            <w:tcW w:type="dxa" w:w="403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Inspection context only in the MVP</w:t>
            </w:r>
          </w:p>
        </w:tc>
      </w:tr>
      <w:tr>
        <w:tc>
          <w:tcPr>
            <w:tcW w:type="dxa" w:w="194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Software</w:t>
            </w:r>
          </w:p>
        </w:tc>
        <w:tc>
          <w:tcPr>
            <w:tcW w:type="dxa" w:w="432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Exact software tag</w:t>
            </w:r>
          </w:p>
        </w:tc>
        <w:tc>
          <w:tcPr>
            <w:tcW w:type="dxa" w:w="403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Configured editor-pattern observation without a manipulation claim</w:t>
            </w:r>
          </w:p>
        </w:tc>
      </w:tr>
      <w:tr>
        <w:tc>
          <w:tcPr>
            <w:tcW w:type="dxa" w:w="194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Dimensions</w:t>
            </w:r>
          </w:p>
        </w:tc>
        <w:tc>
          <w:tcPr>
            <w:tcW w:type="dxa" w:w="432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Width, height, orientation</w:t>
            </w:r>
          </w:p>
        </w:tc>
        <w:tc>
          <w:tcPr>
            <w:tcW w:type="dxa" w:w="403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Inventory display and image validation</w:t>
            </w:r>
          </w:p>
        </w:tc>
      </w:tr>
    </w:tbl>
    <w:p>
      <w:pPr>
        <w:spacing w:after="0"/>
      </w:pPr>
    </w:p>
    <w:p>
      <w:pPr>
        <w:pStyle w:val="Heading1"/>
        <w:keepNext/>
      </w:pPr>
      <w:r>
        <w:rPr>
          <w:rFonts w:ascii="Helvetica Neue" w:hAnsi="Helvetica Neue"/>
        </w:rPr>
        <w:t>8 Timestamp Methodology</w:t>
      </w:r>
    </w:p>
    <w:p>
      <w:pPr>
        <w:spacing w:after="140" w:line="269" w:lineRule="auto"/>
      </w:pPr>
      <w:r>
        <w:rPr>
          <w:rFonts w:ascii="Helvetica Neue" w:hAnsi="Helvetica Neue"/>
          <w:sz w:val="21"/>
        </w:rPr>
        <w:t>Timestamp selection follows a fixed priority: EXIF DateTimeOriginal, EXIF DateTimeDigitized, GPS date and time, source filesystem modification time, and filename ordering. The last two are explicitly labelled fallbacks. The record also explains why a higher-priority value could not be used.</w:t>
      </w:r>
    </w:p>
    <w:p>
      <w:pPr>
        <w:spacing w:after="140" w:line="269" w:lineRule="auto"/>
      </w:pPr>
      <w:r>
        <w:rPr>
          <w:rFonts w:ascii="Helvetica Neue" w:hAnsi="Helvetica Neue"/>
          <w:sz w:val="21"/>
        </w:rPr>
        <w:t>A timestamp with an explicit offset can be normalized to UTC. A timezone-naive EXIF wall-clock value remains local or unknown. The application does not silently label it UTC. An analyst may apply a case-level timezone assumption; that assumption is recorded in analysis configuration and remains visible in the derived timestamp.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288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Source</w:t>
            </w:r>
          </w:p>
        </w:tc>
        <w:tc>
          <w:tcPr>
            <w:tcW w:type="dxa" w:w="237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Default confidence</w:t>
            </w:r>
          </w:p>
        </w:tc>
        <w:tc>
          <w:tcPr>
            <w:tcW w:type="dxa" w:w="504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Timezone handling</w:t>
            </w:r>
          </w:p>
        </w:tc>
      </w:tr>
      <w:tr>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EXIF DateTimeOriginal</w:t>
            </w:r>
          </w:p>
        </w:tc>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High when parseable</w:t>
            </w:r>
          </w:p>
        </w:tc>
        <w:tc>
          <w:tcPr>
            <w:tcW w:type="dxa" w:w="50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Known offset is normalized; otherwise local or unknown</w:t>
            </w:r>
          </w:p>
        </w:tc>
      </w:tr>
      <w:tr>
        <w:tc>
          <w:tcPr>
            <w:tcW w:type="dxa" w:w="288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EXIF DateTimeDigitized</w:t>
            </w:r>
          </w:p>
        </w:tc>
        <w:tc>
          <w:tcPr>
            <w:tcW w:type="dxa" w:w="23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Medium to high</w:t>
            </w:r>
          </w:p>
        </w:tc>
        <w:tc>
          <w:tcPr>
            <w:tcW w:type="dxa" w:w="50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Same explicit-offset rule</w:t>
            </w:r>
          </w:p>
        </w:tc>
      </w:tr>
      <w:tr>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GPS date and time</w:t>
            </w:r>
          </w:p>
        </w:tc>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Medium to high</w:t>
            </w:r>
          </w:p>
        </w:tc>
        <w:tc>
          <w:tcPr>
            <w:tcW w:type="dxa" w:w="50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Handled as UTC when the complete GPS value is valid</w:t>
            </w:r>
          </w:p>
        </w:tc>
      </w:tr>
      <w:tr>
        <w:tc>
          <w:tcPr>
            <w:tcW w:type="dxa" w:w="288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Filesystem modified time</w:t>
            </w:r>
          </w:p>
        </w:tc>
        <w:tc>
          <w:tcPr>
            <w:tcW w:type="dxa" w:w="23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Low fallback</w:t>
            </w:r>
          </w:p>
        </w:tc>
        <w:tc>
          <w:tcPr>
            <w:tcW w:type="dxa" w:w="50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Uses documented source timezone context</w:t>
            </w:r>
          </w:p>
        </w:tc>
      </w:tr>
      <w:tr>
        <w:tc>
          <w:tcPr>
            <w:tcW w:type="dxa" w:w="288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Filename ordering</w:t>
            </w:r>
          </w:p>
        </w:tc>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Lowest fallback</w:t>
            </w:r>
          </w:p>
        </w:tc>
        <w:tc>
          <w:tcPr>
            <w:tcW w:type="dxa" w:w="50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Orders items but does not invent a capture instant</w:t>
            </w:r>
          </w:p>
        </w:tc>
      </w:tr>
    </w:tbl>
    <w:p>
      <w:pPr>
        <w:spacing w:after="0"/>
      </w:pPr>
    </w:p>
    <w:p>
      <w:pPr>
        <w:pStyle w:val="Heading1"/>
        <w:keepNext/>
      </w:pPr>
      <w:r>
        <w:rPr>
          <w:rFonts w:ascii="Helvetica Neue" w:hAnsi="Helvetica Neue"/>
        </w:rPr>
        <w:t>9 Geography and Route Methodology</w:t>
      </w:r>
    </w:p>
    <w:p>
      <w:pPr>
        <w:spacing w:after="140" w:line="269" w:lineRule="auto"/>
      </w:pPr>
      <w:r>
        <w:rPr>
          <w:rFonts w:ascii="Helvetica Neue" w:hAnsi="Helvetica Neue"/>
          <w:sz w:val="21"/>
        </w:rPr>
        <w:t>GPS rational values are converted to decimal latitude and longitude only when their components and hemisphere references are usable. The offline coordinate canvas is the default display. No basemap request is needed, so coordinates and filenames are not sent to an external tile provider.</w:t>
      </w:r>
    </w:p>
    <w:p>
      <w:pPr>
        <w:spacing w:after="140" w:line="269" w:lineRule="auto"/>
      </w:pPr>
      <w:r>
        <w:rPr>
          <w:rFonts w:ascii="Helvetica Neue" w:hAnsi="Helvetica Neue"/>
          <w:sz w:val="21"/>
        </w:rPr>
        <w:t>For two usable points, the geo service calculates great-circle distance with the Haversine formula and an Earth radius of 6,371.0088 km. Derived speed equals that distance divided by positive elapsed time. The application skips speed when either coordinate is unusable, the interval is zero or negative, or timestamps cannot be compared because timezone context is unknown.</w:t>
      </w:r>
    </w:p>
    <w:p>
      <w:pPr>
        <w:spacing w:after="140" w:line="269" w:lineRule="auto"/>
      </w:pPr>
      <w:r>
        <w:rPr>
          <w:rFonts w:ascii="Helvetica Neue" w:hAnsi="Helvetica Neue"/>
          <w:sz w:val="21"/>
        </w:rPr>
        <w:t>A speed result is a consistency indicator. It reflects the selected metadata values and threshold; it is not an observation that a person or device travelled that route.</w:t>
      </w:r>
    </w:p>
    <w:p>
      <w:pPr>
        <w:pStyle w:val="Heading1"/>
        <w:keepNext/>
      </w:pPr>
      <w:r>
        <w:rPr>
          <w:rFonts w:ascii="Helvetica Neue" w:hAnsi="Helvetica Neue"/>
        </w:rPr>
        <w:t>10 Explainable Analysis Rules</w:t>
      </w:r>
    </w:p>
    <w:p>
      <w:pPr>
        <w:spacing w:after="140" w:line="269" w:lineRule="auto"/>
      </w:pPr>
      <w:r>
        <w:rPr>
          <w:rFonts w:ascii="Helvetica Neue" w:hAnsi="Helvetica Neue"/>
          <w:sz w:val="21"/>
        </w:rPr>
        <w:t>Each analysis run stores its analyzer version, rule-set version, application version, build commit, complete configuration, and configuration hash. Rerunning analysis creates new findings. Historical runs and review events remain unchanged.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338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Rule</w:t>
            </w:r>
          </w:p>
        </w:tc>
        <w:tc>
          <w:tcPr>
            <w:tcW w:type="dxa" w:w="144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Default level</w:t>
            </w:r>
          </w:p>
        </w:tc>
        <w:tc>
          <w:tcPr>
            <w:tcW w:type="dxa" w:w="547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Trigger and required support</w:t>
            </w:r>
          </w:p>
        </w:tc>
      </w:tr>
      <w:tr>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INTEGRITY_HASH_MISMATCH</w:t>
            </w:r>
          </w:p>
        </w:tc>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High</w:t>
            </w:r>
          </w:p>
        </w:tc>
        <w:tc>
          <w:tcPr>
            <w:tcW w:type="dxa" w:w="54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Verification hash differs from acquisition hash; show both hashes and verification time</w:t>
            </w:r>
          </w:p>
        </w:tc>
      </w:tr>
      <w:tr>
        <w:tc>
          <w:tcPr>
            <w:tcW w:type="dxa" w:w="33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TIMESTAMP_SOURCE_FALLBACK</w:t>
            </w:r>
          </w:p>
        </w:tc>
        <w:tc>
          <w:tcPr>
            <w:tcW w:type="dxa" w:w="14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Info</w:t>
            </w:r>
          </w:p>
        </w:tc>
        <w:tc>
          <w:tcPr>
            <w:tcW w:type="dxa" w:w="547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Timeline used filesystem or filename fallback; show source and selection reason</w:t>
            </w:r>
          </w:p>
        </w:tc>
      </w:tr>
      <w:tr>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TIMESTAMP_DISCREPANCY</w:t>
            </w:r>
          </w:p>
        </w:tc>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Review</w:t>
            </w:r>
          </w:p>
        </w:tc>
        <w:tc>
          <w:tcPr>
            <w:tcW w:type="dxa" w:w="54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Parseable embedded wall-clock sources differ by more than 300 seconds by default; show raw and normalized values, difference, and timezone status</w:t>
            </w:r>
          </w:p>
        </w:tc>
      </w:tr>
      <w:tr>
        <w:tc>
          <w:tcPr>
            <w:tcW w:type="dxa" w:w="33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EDITING_SOFTWARE_PRESENT</w:t>
            </w:r>
          </w:p>
        </w:tc>
        <w:tc>
          <w:tcPr>
            <w:tcW w:type="dxa" w:w="14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Review</w:t>
            </w:r>
          </w:p>
        </w:tc>
        <w:tc>
          <w:tcPr>
            <w:tcW w:type="dxa" w:w="547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Software tag matches a configured editor pattern; show exact tag and matching pattern without claiming manipulation</w:t>
            </w:r>
          </w:p>
        </w:tc>
      </w:tr>
      <w:tr>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IMPLAUSIBLE_TRAVEL</w:t>
            </w:r>
          </w:p>
        </w:tc>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Review</w:t>
            </w:r>
          </w:p>
        </w:tc>
        <w:tc>
          <w:tcPr>
            <w:tcW w:type="dxa" w:w="54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Derived speed exceeds 1,000 km/h by default; show evidence pair, distance, interval, speed, threshold, and timestamp confidence</w:t>
            </w:r>
          </w:p>
        </w:tc>
      </w:tr>
      <w:tr>
        <w:tc>
          <w:tcPr>
            <w:tcW w:type="dxa" w:w="33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MISSING_GPS</w:t>
            </w:r>
          </w:p>
        </w:tc>
        <w:tc>
          <w:tcPr>
            <w:tcW w:type="dxa" w:w="14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Info</w:t>
            </w:r>
          </w:p>
        </w:tc>
        <w:tc>
          <w:tcPr>
            <w:tcW w:type="dxa" w:w="547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No usable coordinates exist; state absence only</w:t>
            </w:r>
          </w:p>
        </w:tc>
      </w:tr>
      <w:tr>
        <w:tc>
          <w:tcPr>
            <w:tcW w:type="dxa" w:w="33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CAMERA_SOURCE_CHANGE</w:t>
            </w:r>
          </w:p>
        </w:tc>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Info</w:t>
            </w:r>
          </w:p>
        </w:tc>
        <w:tc>
          <w:tcPr>
            <w:tcW w:type="dxa" w:w="547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Adjacent evidence reports a changed make and model grouping; show previous and current values</w:t>
            </w:r>
          </w:p>
        </w:tc>
      </w:tr>
    </w:tbl>
    <w:p>
      <w:pPr>
        <w:spacing w:after="0"/>
      </w:pPr>
    </w:p>
    <w:p>
      <w:pPr>
        <w:pStyle w:val="Heading1"/>
        <w:keepNext/>
      </w:pPr>
      <w:r>
        <w:rPr>
          <w:rFonts w:ascii="Helvetica Neue" w:hAnsi="Helvetica Neue"/>
        </w:rPr>
        <w:t>11 Human Review and Audit History</w:t>
      </w:r>
    </w:p>
    <w:p>
      <w:pPr>
        <w:spacing w:after="140" w:line="269" w:lineRule="auto"/>
      </w:pPr>
      <w:r>
        <w:rPr>
          <w:rFonts w:ascii="Helvetica Neue" w:hAnsi="Helvetica Neue"/>
          <w:sz w:val="21"/>
        </w:rPr>
        <w:t>Findings begin as automated observations. An analyst can acknowledge, resolve, or exclude a finding and must provide a note for the consequential transition. The application appends a review event containing the actor, prior status, new status, note, and timestamp. This preserves the distinction between machine output and human disposition.</w:t>
      </w:r>
    </w:p>
    <w:p>
      <w:pPr>
        <w:spacing w:after="140" w:line="269" w:lineRule="auto"/>
      </w:pPr>
      <w:r>
        <w:rPr>
          <w:rFonts w:ascii="Helvetica Neue" w:hAnsi="Helvetica Neue"/>
          <w:sz w:val="21"/>
        </w:rPr>
        <w:t>Evidence notes and review state are separate from the stored original. Editing a note never edits image bytes or raw metadata. Chain-of-custody events record acquisition, verification, report generation, and other case actions without exposing local paths in the API.</w:t>
      </w:r>
    </w:p>
    <w:p>
      <w:pPr>
        <w:pStyle w:val="Heading1"/>
        <w:keepNext/>
      </w:pPr>
      <w:r>
        <w:rPr>
          <w:rFonts w:ascii="Helvetica Neue" w:hAnsi="Helvetica Neue"/>
        </w:rPr>
        <w:t>12 Reporting and Provenance</w:t>
      </w:r>
    </w:p>
    <w:p>
      <w:pPr>
        <w:spacing w:after="140" w:line="269" w:lineRule="auto"/>
      </w:pPr>
      <w:r>
        <w:rPr>
          <w:rFonts w:ascii="Helvetica Neue" w:hAnsi="Helvetica Neue"/>
          <w:sz w:val="21"/>
        </w:rPr>
        <w:t>A report references one specific completed analysis run, so its findings and configuration remain reconstructable. The report includes case context, methodology, limits, evidence and hash information, analysis versions, and review dispositions. The application finalizes the PDF before calculating its SHA-256 value.</w:t>
      </w:r>
    </w:p>
    <w:p>
      <w:pPr>
        <w:spacing w:after="140" w:line="269" w:lineRule="auto"/>
      </w:pPr>
      <w:r>
        <w:rPr>
          <w:rFonts w:ascii="Helvetica Neue" w:hAnsi="Helvetica Neue"/>
          <w:sz w:val="21"/>
        </w:rPr>
        <w:t>The separate manifest avoids a circular hash problem: a PDF cannot contain its own final hash without changing the bytes being hashed. The manifest therefore records the fixed report hash and relevant evidence hashes after finalization. The generated report record also stores the application version and build commit.</w:t>
      </w:r>
    </w:p>
    <w:p>
      <w:pPr>
        <w:pStyle w:val="Heading1"/>
        <w:keepNext/>
      </w:pPr>
      <w:r>
        <w:rPr>
          <w:rFonts w:ascii="Helvetica Neue" w:hAnsi="Helvetica Neue"/>
        </w:rPr>
        <w:t>13 API and Data Contracts</w:t>
      </w:r>
    </w:p>
    <w:p>
      <w:pPr>
        <w:spacing w:after="140" w:line="269" w:lineRule="auto"/>
      </w:pPr>
      <w:r>
        <w:rPr>
          <w:rFonts w:ascii="Helvetica Neue" w:hAnsi="Helvetica Neue"/>
          <w:sz w:val="21"/>
        </w:rPr>
        <w:t>The REST surface is versioned under /api/v1 and documented through FastAPI OpenAPI at /api/docs. Routes use typed Pydantic contracts, validated identifiers, stable error objects, and polling-friendly job resources. The API does not return absolute storage paths or stack traces.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172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Resource group</w:t>
            </w:r>
          </w:p>
        </w:tc>
        <w:tc>
          <w:tcPr>
            <w:tcW w:type="dxa" w:w="511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Representative operations</w:t>
            </w:r>
          </w:p>
        </w:tc>
        <w:tc>
          <w:tcPr>
            <w:tcW w:type="dxa" w:w="31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Primary records</w:t>
            </w:r>
          </w:p>
        </w:tc>
      </w:tr>
      <w:tr>
        <w:tc>
          <w:tcPr>
            <w:tcW w:type="dxa" w:w="172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Cases</w:t>
            </w:r>
          </w:p>
        </w:tc>
        <w:tc>
          <w:tcPr>
            <w:tcW w:type="dxa" w:w="51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Create, list, inspect, update, archive, reopen</w:t>
            </w:r>
          </w:p>
        </w:tc>
        <w:tc>
          <w:tcPr>
            <w:tcW w:type="dxa" w:w="31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cases</w:t>
            </w:r>
          </w:p>
        </w:tc>
      </w:tr>
      <w:tr>
        <w:tc>
          <w:tcPr>
            <w:tcW w:type="dxa" w:w="172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Evidence</w:t>
            </w:r>
          </w:p>
        </w:tc>
        <w:tc>
          <w:tcPr>
            <w:tcW w:type="dxa" w:w="511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Batch upload, list, inspect, thumbnail, download, verify, review, note</w:t>
            </w:r>
          </w:p>
        </w:tc>
        <w:tc>
          <w:tcPr>
            <w:tcW w:type="dxa" w:w="31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evidence_files, image_metadata, evidence_notes</w:t>
            </w:r>
          </w:p>
        </w:tc>
      </w:tr>
      <w:tr>
        <w:tc>
          <w:tcPr>
            <w:tcW w:type="dxa" w:w="172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Analysis</w:t>
            </w:r>
          </w:p>
        </w:tc>
        <w:tc>
          <w:tcPr>
            <w:tcW w:type="dxa" w:w="51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Create runs, inspect runs, timeline, map data, findings, dispositions</w:t>
            </w:r>
          </w:p>
        </w:tc>
        <w:tc>
          <w:tcPr>
            <w:tcW w:type="dxa" w:w="31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analysis_runs, findings, finding_review_events</w:t>
            </w:r>
          </w:p>
        </w:tc>
      </w:tr>
      <w:tr>
        <w:tc>
          <w:tcPr>
            <w:tcW w:type="dxa" w:w="172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Audit and jobs</w:t>
            </w:r>
          </w:p>
        </w:tc>
        <w:tc>
          <w:tcPr>
            <w:tcW w:type="dxa" w:w="511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Custody history, job status, cancellation</w:t>
            </w:r>
          </w:p>
        </w:tc>
        <w:tc>
          <w:tcPr>
            <w:tcW w:type="dxa" w:w="31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chain_of_custody_events, jobs</w:t>
            </w:r>
          </w:p>
        </w:tc>
      </w:tr>
      <w:tr>
        <w:tc>
          <w:tcPr>
            <w:tcW w:type="dxa" w:w="172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Reports</w:t>
            </w:r>
          </w:p>
        </w:tc>
        <w:tc>
          <w:tcPr>
            <w:tcW w:type="dxa" w:w="51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Create, list, preview, download, manifest</w:t>
            </w:r>
          </w:p>
        </w:tc>
        <w:tc>
          <w:tcPr>
            <w:tcW w:type="dxa" w:w="31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generated_reports</w:t>
            </w:r>
          </w:p>
        </w:tc>
      </w:tr>
    </w:tbl>
    <w:p>
      <w:pPr>
        <w:spacing w:after="0"/>
      </w:pPr>
    </w:p>
    <w:p>
      <w:pPr>
        <w:pStyle w:val="Heading1"/>
        <w:keepNext/>
      </w:pPr>
      <w:r>
        <w:rPr>
          <w:rFonts w:ascii="Helvetica Neue" w:hAnsi="Helvetica Neue"/>
        </w:rPr>
        <w:t>14 Consistency Failure and Recovery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237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Scenario</w:t>
            </w:r>
          </w:p>
        </w:tc>
        <w:tc>
          <w:tcPr>
            <w:tcW w:type="dxa" w:w="417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Expected behavior</w:t>
            </w:r>
          </w:p>
        </w:tc>
        <w:tc>
          <w:tcPr>
            <w:tcW w:type="dxa" w:w="345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Reason</w:t>
            </w:r>
          </w:p>
        </w:tc>
      </w:tr>
      <w:tr>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One file in a batch is malformed</w:t>
            </w:r>
          </w:p>
        </w:tc>
        <w:tc>
          <w:tcPr>
            <w:tcW w:type="dxa" w:w="41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Reject that file with a safe reason and continue valid items</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 single parser failure must not discard successful evidence intake</w:t>
            </w:r>
          </w:p>
        </w:tc>
      </w:tr>
      <w:tr>
        <w:tc>
          <w:tcPr>
            <w:tcW w:type="dxa" w:w="23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Registration transaction fails</w:t>
            </w:r>
          </w:p>
        </w:tc>
        <w:tc>
          <w:tcPr>
            <w:tcW w:type="dxa" w:w="41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Do not leave a committed evidence row without its acquisition hash and initial custody event</w:t>
            </w:r>
          </w:p>
        </w:tc>
        <w:tc>
          <w:tcPr>
            <w:tcW w:type="dxa" w:w="34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These records form one consistency boundary</w:t>
            </w:r>
          </w:p>
        </w:tc>
      </w:tr>
      <w:tr>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Analysis is rerun</w:t>
            </w:r>
          </w:p>
        </w:tc>
        <w:tc>
          <w:tcPr>
            <w:tcW w:type="dxa" w:w="41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Create a new run and new findings</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Historical results remain reconstructable</w:t>
            </w:r>
          </w:p>
        </w:tc>
      </w:tr>
      <w:tr>
        <w:tc>
          <w:tcPr>
            <w:tcW w:type="dxa" w:w="23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Configuration changes during a run</w:t>
            </w:r>
          </w:p>
        </w:tc>
        <w:tc>
          <w:tcPr>
            <w:tcW w:type="dxa" w:w="417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Use the configuration snapshot stored on that run</w:t>
            </w:r>
          </w:p>
        </w:tc>
        <w:tc>
          <w:tcPr>
            <w:tcW w:type="dxa" w:w="34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Mid-run behavior cannot silently change</w:t>
            </w:r>
          </w:p>
        </w:tc>
      </w:tr>
      <w:tr>
        <w:tc>
          <w:tcPr>
            <w:tcW w:type="dxa" w:w="23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 creation fails before finalization</w:t>
            </w:r>
          </w:p>
        </w:tc>
        <w:tc>
          <w:tcPr>
            <w:tcW w:type="dxa" w:w="417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Keep the job failed or partial and do not publish a completed report record</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The report hash and manifest must describe fixed bytes</w:t>
            </w:r>
          </w:p>
        </w:tc>
      </w:tr>
    </w:tbl>
    <w:p>
      <w:pPr>
        <w:spacing w:after="0"/>
      </w:pPr>
    </w:p>
    <w:p>
      <w:pPr>
        <w:pStyle w:val="Heading1"/>
        <w:keepNext/>
      </w:pPr>
      <w:r>
        <w:rPr>
          <w:rFonts w:ascii="Helvetica Neue" w:hAnsi="Helvetica Neue"/>
        </w:rPr>
        <w:t>15 Security Privacy and Threat Model</w:t>
      </w:r>
    </w:p>
    <w:p>
      <w:pPr>
        <w:spacing w:after="80"/>
        <w:ind w:left="317" w:hanging="230"/>
      </w:pPr>
      <w:r>
        <w:rPr>
          <w:rFonts w:ascii="Helvetica Neue" w:hAnsi="Helvetica Neue"/>
          <w:b/>
          <w:sz w:val="21"/>
        </w:rPr>
        <w:t xml:space="preserve">• </w:t>
      </w:r>
      <w:r>
        <w:rPr>
          <w:rFonts w:ascii="Helvetica Neue" w:hAnsi="Helvetica Neue"/>
          <w:sz w:val="21"/>
        </w:rPr>
        <w:t>Trust boundaries exist at file upload, metadata parsing, API input, controlled storage, report rendering, and optional external map access.</w:t>
      </w:r>
    </w:p>
    <w:p>
      <w:pPr>
        <w:spacing w:after="80"/>
        <w:ind w:left="317" w:hanging="230"/>
      </w:pPr>
      <w:r>
        <w:rPr>
          <w:rFonts w:ascii="Helvetica Neue" w:hAnsi="Helvetica Neue"/>
          <w:b/>
          <w:sz w:val="21"/>
        </w:rPr>
        <w:t xml:space="preserve">• </w:t>
      </w:r>
      <w:r>
        <w:rPr>
          <w:rFonts w:ascii="Helvetica Neue" w:hAnsi="Helvetica Neue"/>
          <w:sz w:val="21"/>
        </w:rPr>
        <w:t>Pillow decompression-bomb safeguards, byte and pixel limits, full decode, and supported-format checks constrain parser resource use.</w:t>
      </w:r>
    </w:p>
    <w:p>
      <w:pPr>
        <w:spacing w:after="80"/>
        <w:ind w:left="317" w:hanging="230"/>
      </w:pPr>
      <w:r>
        <w:rPr>
          <w:rFonts w:ascii="Helvetica Neue" w:hAnsi="Helvetica Neue"/>
          <w:b/>
          <w:sz w:val="21"/>
        </w:rPr>
        <w:t xml:space="preserve">• </w:t>
      </w:r>
      <w:r>
        <w:rPr>
          <w:rFonts w:ascii="Helvetica Neue" w:hAnsi="Helvetica Neue"/>
          <w:sz w:val="21"/>
        </w:rPr>
        <w:t>Generated UUID directories, root-containment checks, filename sanitization, and separated storage roots reduce traversal, overwrite, and accidental serving risk.</w:t>
      </w:r>
    </w:p>
    <w:p>
      <w:pPr>
        <w:spacing w:after="80"/>
        <w:ind w:left="317" w:hanging="230"/>
      </w:pPr>
      <w:r>
        <w:rPr>
          <w:rFonts w:ascii="Helvetica Neue" w:hAnsi="Helvetica Neue"/>
          <w:b/>
          <w:sz w:val="21"/>
        </w:rPr>
        <w:t xml:space="preserve">• </w:t>
      </w:r>
      <w:r>
        <w:rPr>
          <w:rFonts w:ascii="Helvetica Neue" w:hAnsi="Helvetica Neue"/>
          <w:sz w:val="21"/>
        </w:rPr>
        <w:t>Metadata is escaped in the UI and report. Embedded external URLs are never followed automatically during analysis.</w:t>
      </w:r>
    </w:p>
    <w:p>
      <w:pPr>
        <w:spacing w:after="80"/>
        <w:ind w:left="317" w:hanging="230"/>
      </w:pPr>
      <w:r>
        <w:rPr>
          <w:rFonts w:ascii="Helvetica Neue" w:hAnsi="Helvetica Neue"/>
          <w:b/>
          <w:sz w:val="21"/>
        </w:rPr>
        <w:t xml:space="preserve">• </w:t>
      </w:r>
      <w:r>
        <w:rPr>
          <w:rFonts w:ascii="Helvetica Neue" w:hAnsi="Helvetica Neue"/>
          <w:sz w:val="21"/>
        </w:rPr>
        <w:t>The offline coordinate canvas is the privacy-preserving map default. An online tile provider would require explicit enablement and a privacy notice.</w:t>
      </w:r>
    </w:p>
    <w:p>
      <w:pPr>
        <w:spacing w:after="80"/>
        <w:ind w:left="317" w:hanging="230"/>
      </w:pPr>
      <w:r>
        <w:rPr>
          <w:rFonts w:ascii="Helvetica Neue" w:hAnsi="Helvetica Neue"/>
          <w:b/>
          <w:sz w:val="21"/>
        </w:rPr>
        <w:t xml:space="preserve">• </w:t>
      </w:r>
      <w:r>
        <w:rPr>
          <w:rFonts w:ascii="Helvetica Neue" w:hAnsi="Helvetica Neue"/>
          <w:sz w:val="21"/>
        </w:rPr>
        <w:t>Uploaded evidence, generated derivatives, runtime databases, reports, logs, and caches are excluded from Git. Only safe synthetic fixtures belong in public source control.</w:t>
      </w:r>
    </w:p>
    <w:p>
      <w:pPr>
        <w:spacing w:after="140" w:line="269" w:lineRule="auto"/>
      </w:pPr>
      <w:r>
        <w:rPr>
          <w:rFonts w:ascii="Helvetica Neue" w:hAnsi="Helvetica Neue"/>
          <w:sz w:val="21"/>
        </w:rPr>
        <w:t>Residual risk remains because image parsers handle complex untrusted formats, local users may have filesystem access outside the application, and metadata itself may contain sensitive location or device details. The project should therefore run on a maintained operating system with access limited to the analyst and with case storage protected by normal endpoint security and backups.</w:t>
      </w:r>
    </w:p>
    <w:p>
      <w:pPr>
        <w:pStyle w:val="Heading1"/>
        <w:keepNext/>
      </w:pPr>
      <w:r>
        <w:rPr>
          <w:rFonts w:ascii="Helvetica Neue" w:hAnsi="Helvetica Neue"/>
        </w:rPr>
        <w:t>16 User Workflows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158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Workspace</w:t>
            </w:r>
          </w:p>
        </w:tc>
        <w:tc>
          <w:tcPr>
            <w:tcW w:type="dxa" w:w="496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What the analyst does</w:t>
            </w:r>
          </w:p>
        </w:tc>
        <w:tc>
          <w:tcPr>
            <w:tcW w:type="dxa" w:w="345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Decision supported</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Case registry</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Create, reopen, archive, and locate investigations</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Which case context is active</w:t>
            </w:r>
          </w:p>
        </w:tc>
      </w:tr>
      <w:tr>
        <w:tc>
          <w:tcPr>
            <w:tcW w:type="dxa" w:w="15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Evidence</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Search, filter, select, and inspect hashes, metadata, notes, and status</w:t>
            </w:r>
          </w:p>
        </w:tc>
        <w:tc>
          <w:tcPr>
            <w:tcW w:type="dxa" w:w="34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Which file and source values need review</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Timeline</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Examine timestamp order, source, confidence, and intervals</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Whether chronology is sufficiently supported</w:t>
            </w:r>
          </w:p>
        </w:tc>
      </w:tr>
      <w:tr>
        <w:tc>
          <w:tcPr>
            <w:tcW w:type="dxa" w:w="15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Map</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Inspect coordinates, route segments, distance, and derived speed</w:t>
            </w:r>
          </w:p>
        </w:tc>
        <w:tc>
          <w:tcPr>
            <w:tcW w:type="dxa" w:w="34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Whether location inputs create an explainable inconsistency</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Findings</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Read rule support and record an auditable disposition</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Which automated observations remain unresolved</w:t>
            </w:r>
          </w:p>
        </w:tc>
      </w:tr>
      <w:tr>
        <w:tc>
          <w:tcPr>
            <w:tcW w:type="dxa" w:w="158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Custody</w:t>
            </w:r>
          </w:p>
        </w:tc>
        <w:tc>
          <w:tcPr>
            <w:tcW w:type="dxa" w:w="496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Review append-only case and evidence events</w:t>
            </w:r>
          </w:p>
        </w:tc>
        <w:tc>
          <w:tcPr>
            <w:tcW w:type="dxa" w:w="34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How evidence and reports moved through the application</w:t>
            </w:r>
          </w:p>
        </w:tc>
      </w:tr>
      <w:tr>
        <w:tc>
          <w:tcPr>
            <w:tcW w:type="dxa" w:w="158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Reports</w:t>
            </w:r>
          </w:p>
        </w:tc>
        <w:tc>
          <w:tcPr>
            <w:tcW w:type="dxa" w:w="496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Generate, preview, and download the PDF and manifest</w:t>
            </w:r>
          </w:p>
        </w:tc>
        <w:tc>
          <w:tcPr>
            <w:tcW w:type="dxa" w:w="34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What fixed analysis state is being communicated</w:t>
            </w:r>
          </w:p>
        </w:tc>
      </w:tr>
    </w:tbl>
    <w:p>
      <w:pPr>
        <w:spacing w:after="0"/>
      </w:pPr>
    </w:p>
    <w:p>
      <w:pPr>
        <w:pStyle w:val="Heading1"/>
        <w:keepNext/>
      </w:pPr>
      <w:r>
        <w:rPr>
          <w:rFonts w:ascii="Helvetica Neue" w:hAnsi="Helvetica Neue"/>
        </w:rPr>
        <w:t>17 Product Demonstration</w:t>
      </w:r>
    </w:p>
    <w:p>
      <w:pPr>
        <w:spacing w:after="140" w:line="269" w:lineRule="auto"/>
      </w:pPr>
      <w:r>
        <w:rPr>
          <w:rFonts w:ascii="Helvetica Neue" w:hAnsi="Helvetica Neue"/>
          <w:sz w:val="21"/>
        </w:rPr>
        <w:t>The following screens were captured from the running application with the committed 20-image synthetic fixture. The fixture contains no person and asserts no real-world event. It includes images with and without GPS, two declared camera groups, timestamp and software-tag examples, a deliberately rapid synthetic transition, and duplicate examples.</w:t>
      </w:r>
    </w:p>
    <w:p>
      <w:r>
        <w:rPr>
          <w:rFonts w:ascii="Helvetica Neue" w:hAnsi="Helvetica Neue"/>
          <w:sz w:val="21"/>
        </w:rPr>
        <w:br w:type="page"/>
      </w:r>
    </w:p>
    <w:p>
      <w:pPr>
        <w:keepNext/>
        <w:jc w:val="center"/>
      </w:pPr>
      <w:r>
        <w:rPr>
          <w:rFonts w:ascii="Helvetica Neue" w:hAnsi="Helvetica Neue"/>
          <w:sz w:val="21"/>
        </w:rPr>
        <w:drawing>
          <wp:inline>
            <wp:extent cx="6355080" cy="5269420"/>
            <wp:docPr id="2" name="Picture 2" descr="IMAGE TRACE screen 2  Case registry in dark mode" title="IMAGE TRACE screen 2  Case registry in dark mode"/>
            <wp:cNvGraphicFramePr>
              <a:graphicFrameLocks noChangeAspect="1"/>
            </wp:cNvGraphicFramePr>
            <a:graphic>
              <a:graphicData uri="http://schemas.openxmlformats.org/drawingml/2006/picture">
                <pic:pic>
                  <pic:nvPicPr>
                    <pic:cNvPr id="0" name="demo-01-case-registry.png"/>
                    <pic:cNvPicPr/>
                  </pic:nvPicPr>
                  <pic:blipFill>
                    <a:blip r:embed="rId14"/>
                    <a:stretch>
                      <a:fillRect/>
                    </a:stretch>
                  </pic:blipFill>
                  <pic:spPr>
                    <a:xfrm>
                      <a:off x="0" y="0"/>
                      <a:ext cx="6355080" cy="5269420"/>
                    </a:xfrm>
                    <a:prstGeom prst="rect"/>
                  </pic:spPr>
                </pic:pic>
              </a:graphicData>
            </a:graphic>
          </wp:inline>
        </w:drawing>
      </w:r>
    </w:p>
    <w:p>
      <w:pPr>
        <w:keepNext w:val="0"/>
        <w:spacing w:before="60" w:after="200"/>
        <w:jc w:val="center"/>
      </w:pPr>
      <w:r>
        <w:rPr>
          <w:rFonts w:ascii="Helvetica Neue" w:hAnsi="Helvetica Neue"/>
          <w:i/>
          <w:color w:val="50667B"/>
          <w:sz w:val="18"/>
        </w:rPr>
        <w:t>Figure 2  Case registry in dark mode</w:t>
      </w:r>
    </w:p>
    <w:p>
      <w:r>
        <w:rPr>
          <w:rFonts w:ascii="Helvetica Neue" w:hAnsi="Helvetica Neue"/>
          <w:sz w:val="21"/>
        </w:rPr>
        <w:br w:type="page"/>
      </w:r>
    </w:p>
    <w:p>
      <w:pPr>
        <w:keepNext/>
        <w:jc w:val="center"/>
      </w:pPr>
      <w:r>
        <w:rPr>
          <w:rFonts w:ascii="Helvetica Neue" w:hAnsi="Helvetica Neue"/>
          <w:sz w:val="21"/>
        </w:rPr>
        <w:drawing>
          <wp:inline>
            <wp:extent cx="6355080" cy="4382357"/>
            <wp:docPr id="3" name="Picture 3" descr="IMAGE TRACE screen 3  Evidence inventory and persistent inspector" title="IMAGE TRACE screen 3  Evidence inventory and persistent inspector"/>
            <wp:cNvGraphicFramePr>
              <a:graphicFrameLocks noChangeAspect="1"/>
            </wp:cNvGraphicFramePr>
            <a:graphic>
              <a:graphicData uri="http://schemas.openxmlformats.org/drawingml/2006/picture">
                <pic:pic>
                  <pic:nvPicPr>
                    <pic:cNvPr id="0" name="demo-02-evidence.png"/>
                    <pic:cNvPicPr/>
                  </pic:nvPicPr>
                  <pic:blipFill>
                    <a:blip r:embed="rId15"/>
                    <a:stretch>
                      <a:fillRect/>
                    </a:stretch>
                  </pic:blipFill>
                  <pic:spPr>
                    <a:xfrm>
                      <a:off x="0" y="0"/>
                      <a:ext cx="6355080" cy="4382357"/>
                    </a:xfrm>
                    <a:prstGeom prst="rect"/>
                  </pic:spPr>
                </pic:pic>
              </a:graphicData>
            </a:graphic>
          </wp:inline>
        </w:drawing>
      </w:r>
    </w:p>
    <w:p>
      <w:pPr>
        <w:keepNext w:val="0"/>
        <w:spacing w:before="60" w:after="200"/>
        <w:jc w:val="center"/>
      </w:pPr>
      <w:r>
        <w:rPr>
          <w:rFonts w:ascii="Helvetica Neue" w:hAnsi="Helvetica Neue"/>
          <w:i/>
          <w:color w:val="50667B"/>
          <w:sz w:val="18"/>
        </w:rPr>
        <w:t>Figure 3  Evidence inventory and persistent inspector</w:t>
      </w:r>
    </w:p>
    <w:p>
      <w:r>
        <w:rPr>
          <w:rFonts w:ascii="Helvetica Neue" w:hAnsi="Helvetica Neue"/>
          <w:sz w:val="21"/>
        </w:rPr>
        <w:br w:type="page"/>
      </w:r>
    </w:p>
    <w:p>
      <w:pPr>
        <w:keepNext/>
        <w:jc w:val="center"/>
      </w:pPr>
      <w:r>
        <w:rPr>
          <w:rFonts w:ascii="Helvetica Neue" w:hAnsi="Helvetica Neue"/>
          <w:sz w:val="21"/>
        </w:rPr>
        <w:drawing>
          <wp:inline>
            <wp:extent cx="6355080" cy="3971925"/>
            <wp:docPr id="4" name="Picture 4" descr="IMAGE TRACE screen 4  Explainable findings and human review" title="IMAGE TRACE screen 4  Explainable findings and human review"/>
            <wp:cNvGraphicFramePr>
              <a:graphicFrameLocks noChangeAspect="1"/>
            </wp:cNvGraphicFramePr>
            <a:graphic>
              <a:graphicData uri="http://schemas.openxmlformats.org/drawingml/2006/picture">
                <pic:pic>
                  <pic:nvPicPr>
                    <pic:cNvPr id="0" name="demo-03-findings.png"/>
                    <pic:cNvPicPr/>
                  </pic:nvPicPr>
                  <pic:blipFill>
                    <a:blip r:embed="rId16"/>
                    <a:stretch>
                      <a:fillRect/>
                    </a:stretch>
                  </pic:blipFill>
                  <pic:spPr>
                    <a:xfrm>
                      <a:off x="0" y="0"/>
                      <a:ext cx="6355080" cy="3971925"/>
                    </a:xfrm>
                    <a:prstGeom prst="rect"/>
                  </pic:spPr>
                </pic:pic>
              </a:graphicData>
            </a:graphic>
          </wp:inline>
        </w:drawing>
      </w:r>
    </w:p>
    <w:p>
      <w:pPr>
        <w:keepNext w:val="0"/>
        <w:spacing w:before="60" w:after="200"/>
        <w:jc w:val="center"/>
      </w:pPr>
      <w:r>
        <w:rPr>
          <w:rFonts w:ascii="Helvetica Neue" w:hAnsi="Helvetica Neue"/>
          <w:i/>
          <w:color w:val="50667B"/>
          <w:sz w:val="18"/>
        </w:rPr>
        <w:t>Figure 4  Explainable findings and human review</w:t>
      </w:r>
    </w:p>
    <w:p>
      <w:r>
        <w:rPr>
          <w:rFonts w:ascii="Helvetica Neue" w:hAnsi="Helvetica Neue"/>
          <w:sz w:val="21"/>
        </w:rPr>
        <w:br w:type="page"/>
      </w:r>
    </w:p>
    <w:p>
      <w:pPr>
        <w:keepNext/>
        <w:jc w:val="center"/>
      </w:pPr>
      <w:r>
        <w:rPr>
          <w:rFonts w:ascii="Helvetica Neue" w:hAnsi="Helvetica Neue"/>
          <w:sz w:val="21"/>
        </w:rPr>
        <w:drawing>
          <wp:inline>
            <wp:extent cx="6355080" cy="3971925"/>
            <wp:docPr id="5" name="Picture 5" descr="IMAGE TRACE screen 5  Versioned report generation and downloads" title="IMAGE TRACE screen 5  Versioned report generation and downloads"/>
            <wp:cNvGraphicFramePr>
              <a:graphicFrameLocks noChangeAspect="1"/>
            </wp:cNvGraphicFramePr>
            <a:graphic>
              <a:graphicData uri="http://schemas.openxmlformats.org/drawingml/2006/picture">
                <pic:pic>
                  <pic:nvPicPr>
                    <pic:cNvPr id="0" name="demo-04-reports.png"/>
                    <pic:cNvPicPr/>
                  </pic:nvPicPr>
                  <pic:blipFill>
                    <a:blip r:embed="rId17"/>
                    <a:stretch>
                      <a:fillRect/>
                    </a:stretch>
                  </pic:blipFill>
                  <pic:spPr>
                    <a:xfrm>
                      <a:off x="0" y="0"/>
                      <a:ext cx="6355080" cy="3971925"/>
                    </a:xfrm>
                    <a:prstGeom prst="rect"/>
                  </pic:spPr>
                </pic:pic>
              </a:graphicData>
            </a:graphic>
          </wp:inline>
        </w:drawing>
      </w:r>
    </w:p>
    <w:p>
      <w:pPr>
        <w:keepNext w:val="0"/>
        <w:spacing w:before="60" w:after="200"/>
        <w:jc w:val="center"/>
      </w:pPr>
      <w:r>
        <w:rPr>
          <w:rFonts w:ascii="Helvetica Neue" w:hAnsi="Helvetica Neue"/>
          <w:i/>
          <w:color w:val="50667B"/>
          <w:sz w:val="18"/>
        </w:rPr>
        <w:t>Figure 5  Versioned report generation and downloads</w:t>
      </w:r>
    </w:p>
    <w:p>
      <w:pPr>
        <w:pStyle w:val="Heading1"/>
        <w:keepNext/>
      </w:pPr>
      <w:r>
        <w:rPr>
          <w:rFonts w:ascii="Helvetica Neue" w:hAnsi="Helvetica Neue"/>
        </w:rPr>
        <w:t>18 Installation and Operation</w:t>
      </w:r>
    </w:p>
    <w:p>
      <w:pPr>
        <w:spacing w:after="140" w:line="269" w:lineRule="auto"/>
      </w:pPr>
      <w:r>
        <w:rPr>
          <w:rFonts w:ascii="Helvetica Neue" w:hAnsi="Helvetica Neue"/>
          <w:sz w:val="21"/>
        </w:rPr>
        <w:t>Prerequisites are Python 3.12 or newer, Node.js 22 or newer, npm 10 or newer, and Chrome for the local Playwright workflow. On Windows, WeasyPrint can use an installed GTK runtime; when it is unavailable, the application uses its complete paginated ReportLab renderer.</w:t>
      </w:r>
    </w:p>
    <w:p>
      <w:pPr>
        <w:pStyle w:val="Heading2"/>
        <w:keepNext/>
      </w:pPr>
      <w:r>
        <w:rPr>
          <w:rFonts w:ascii="Helvetica Neue" w:hAnsi="Helvetica Neue"/>
        </w:rPr>
        <w:t>Windows PowerShell</w:t>
      </w:r>
    </w:p>
    <w:p>
      <w:pPr>
        <w:spacing w:after="40"/>
        <w:ind w:left="403"/>
      </w:pPr>
      <w:r>
        <w:rPr>
          <w:rFonts w:ascii="Consolas" w:hAnsi="Consolas"/>
          <w:sz w:val="18"/>
        </w:rPr>
        <w:t>cd apps/backend</w:t>
      </w:r>
    </w:p>
    <w:p>
      <w:pPr>
        <w:spacing w:after="40"/>
        <w:ind w:left="403"/>
      </w:pPr>
      <w:r>
        <w:rPr>
          <w:rFonts w:ascii="Consolas" w:hAnsi="Consolas"/>
          <w:sz w:val="18"/>
        </w:rPr>
        <w:t>python -m venv .venv</w:t>
      </w:r>
    </w:p>
    <w:p>
      <w:pPr>
        <w:spacing w:after="40"/>
        <w:ind w:left="403"/>
      </w:pPr>
      <w:r>
        <w:rPr>
          <w:rFonts w:ascii="Consolas" w:hAnsi="Consolas"/>
          <w:sz w:val="18"/>
        </w:rPr>
        <w:t>.\.venv\Scripts\python.exe -m pip install -e \".[dev]\"</w:t>
      </w:r>
    </w:p>
    <w:p>
      <w:pPr>
        <w:spacing w:after="40"/>
        <w:ind w:left="403"/>
      </w:pPr>
      <w:r>
        <w:rPr>
          <w:rFonts w:ascii="Consolas" w:hAnsi="Consolas"/>
          <w:sz w:val="18"/>
        </w:rPr>
        <w:t>.\.venv\Scripts\python.exe -m alembic upgrade head</w:t>
      </w:r>
    </w:p>
    <w:p>
      <w:pPr>
        <w:spacing w:after="40"/>
        <w:ind w:left="403"/>
      </w:pPr>
      <w:r>
        <w:rPr>
          <w:rFonts w:ascii="Consolas" w:hAnsi="Consolas"/>
          <w:sz w:val="18"/>
        </w:rPr>
        <w:t>cd ../frontend</w:t>
      </w:r>
    </w:p>
    <w:p>
      <w:pPr>
        <w:spacing w:after="40"/>
        <w:ind w:left="403"/>
      </w:pPr>
      <w:r>
        <w:rPr>
          <w:rFonts w:ascii="Consolas" w:hAnsi="Consolas"/>
          <w:sz w:val="18"/>
        </w:rPr>
        <w:t>npm ci</w:t>
      </w:r>
    </w:p>
    <w:p>
      <w:pPr>
        <w:spacing w:after="40"/>
        <w:ind w:left="403"/>
      </w:pPr>
      <w:r>
        <w:rPr>
          <w:rFonts w:ascii="Consolas" w:hAnsi="Consolas"/>
          <w:sz w:val="18"/>
        </w:rPr>
        <w:t>cd ../..</w:t>
      </w:r>
    </w:p>
    <w:p>
      <w:pPr>
        <w:spacing w:after="40"/>
        <w:ind w:left="403"/>
      </w:pPr>
      <w:r>
        <w:rPr>
          <w:rFonts w:ascii="Consolas" w:hAnsi="Consolas"/>
          <w:sz w:val="18"/>
        </w:rPr>
        <w:t>.\scripts\dev.ps1</w:t>
      </w:r>
    </w:p>
    <w:p>
      <w:pPr>
        <w:spacing w:after="140" w:line="269" w:lineRule="auto"/>
      </w:pPr>
      <w:r>
        <w:rPr>
          <w:rFonts w:ascii="Helvetica Neue" w:hAnsi="Helvetica Neue"/>
          <w:sz w:val="21"/>
        </w:rPr>
        <w:t>Open http://127.0.0.1:5173 for the application and http://127.0.0.1:8000/api/docs for the API reference. The public demonstration site is intentionally read-only and contains synthetic screenshots only.</w:t>
      </w:r>
    </w:p>
    <w:p>
      <w:pPr>
        <w:pStyle w:val="Heading1"/>
        <w:keepNext/>
      </w:pPr>
      <w:r>
        <w:rPr>
          <w:rFonts w:ascii="Helvetica Neue" w:hAnsi="Helvetica Neue"/>
        </w:rPr>
        <w:t>19 Repository Structure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trPr>
        <w:tc>
          <w:tcPr>
            <w:tcW w:type="dxa" w:w="295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Path</w:t>
            </w:r>
          </w:p>
        </w:tc>
        <w:tc>
          <w:tcPr>
            <w:tcW w:type="dxa" w:w="7056"/>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Purpose</w:t>
            </w:r>
          </w:p>
        </w:tc>
      </w:tr>
      <w:tr>
        <w:tc>
          <w:tcPr>
            <w:tcW w:type="dxa" w:w="29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apps/frontend</w:t>
            </w:r>
          </w:p>
        </w:tc>
        <w:tc>
          <w:tcPr>
            <w:tcW w:type="dxa" w:w="70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React, TypeScript, Vite, routes, shared state, components, and UI tests</w:t>
            </w:r>
          </w:p>
        </w:tc>
      </w:tr>
      <w:tr>
        <w:tc>
          <w:tcPr>
            <w:tcW w:type="dxa" w:w="295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apps/backend</w:t>
            </w:r>
          </w:p>
        </w:tc>
        <w:tc>
          <w:tcPr>
            <w:tcW w:type="dxa" w:w="70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FastAPI service, SQLAlchemy models, Alembic migration, domain services, report template, and tests</w:t>
            </w:r>
          </w:p>
        </w:tc>
      </w:tr>
      <w:tr>
        <w:tc>
          <w:tcPr>
            <w:tcW w:type="dxa" w:w="29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fixtures/synthetic-case</w:t>
            </w:r>
          </w:p>
        </w:tc>
        <w:tc>
          <w:tcPr>
            <w:tcW w:type="dxa" w:w="70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Deterministic public sample images and fixture manifest</w:t>
            </w:r>
          </w:p>
        </w:tc>
      </w:tr>
      <w:tr>
        <w:tc>
          <w:tcPr>
            <w:tcW w:type="dxa" w:w="295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storage</w:t>
            </w:r>
          </w:p>
        </w:tc>
        <w:tc>
          <w:tcPr>
            <w:tcW w:type="dxa" w:w="70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Runtime roots for originals, derivatives, reports, and exports; generated content is ignored</w:t>
            </w:r>
          </w:p>
        </w:tc>
      </w:tr>
      <w:tr>
        <w:tc>
          <w:tcPr>
            <w:tcW w:type="dxa" w:w="29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docs</w:t>
            </w:r>
          </w:p>
        </w:tc>
        <w:tc>
          <w:tcPr>
            <w:tcW w:type="dxa" w:w="70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Architecture, API, data model, methodology, threat model, limitations, testing, and demo script</w:t>
            </w:r>
          </w:p>
        </w:tc>
      </w:tr>
      <w:tr>
        <w:tc>
          <w:tcPr>
            <w:tcW w:type="dxa" w:w="295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scripts</w:t>
            </w:r>
          </w:p>
        </w:tc>
        <w:tc>
          <w:tcPr>
            <w:tcW w:type="dxa" w:w="7056"/>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Fixture generation, local launch, and demo asset tooling</w:t>
            </w:r>
          </w:p>
        </w:tc>
      </w:tr>
      <w:tr>
        <w:tc>
          <w:tcPr>
            <w:tcW w:type="dxa" w:w="295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tests/e2e</w:t>
            </w:r>
          </w:p>
        </w:tc>
        <w:tc>
          <w:tcPr>
            <w:tcW w:type="dxa" w:w="7056"/>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Playwright principal workflow and demo capture</w:t>
            </w:r>
          </w:p>
        </w:tc>
      </w:tr>
    </w:tbl>
    <w:p>
      <w:pPr>
        <w:spacing w:after="0"/>
      </w:pPr>
    </w:p>
    <w:p>
      <w:pPr>
        <w:pStyle w:val="Heading1"/>
        <w:keepNext/>
      </w:pPr>
      <w:r>
        <w:rPr>
          <w:rFonts w:ascii="Helvetica Neue" w:hAnsi="Helvetica Neue"/>
        </w:rPr>
        <w:t>20 Verification Results</w:t>
      </w:r>
    </w:p>
    <w:p>
      <w:pPr>
        <w:spacing w:after="140" w:line="269" w:lineRule="auto"/>
      </w:pPr>
      <w:r>
        <w:rPr>
          <w:rFonts w:ascii="Helvetica Neue" w:hAnsi="Helvetica Neue"/>
          <w:sz w:val="21"/>
        </w:rPr>
        <w:t>The completed local verification suite covers the case-to-report vertical slice and the controlled integrity mismatch path. It also checks light and dark theme behavior, the responsive investigation surfaces, dependency consistency, and the final report layout.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2304"/>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Check</w:t>
            </w:r>
          </w:p>
        </w:tc>
        <w:tc>
          <w:tcPr>
            <w:tcW w:type="dxa" w:w="151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Result</w:t>
            </w:r>
          </w:p>
        </w:tc>
        <w:tc>
          <w:tcPr>
            <w:tcW w:type="dxa" w:w="6192"/>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Coverage</w:t>
            </w:r>
          </w:p>
        </w:tc>
      </w:tr>
      <w:tr>
        <w:tc>
          <w:tcPr>
            <w:tcW w:type="dxa" w:w="230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Backend tests</w:t>
            </w:r>
          </w:p>
        </w:tc>
        <w:tc>
          <w:tcPr>
            <w:tcW w:type="dxa" w:w="15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5 passed</w:t>
            </w:r>
          </w:p>
        </w:tc>
        <w:tc>
          <w:tcPr>
            <w:tcW w:type="dxa" w:w="619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Hashes, time, geography, intake, findings, review history, mismatch, reports, and HTTP workflow</w:t>
            </w:r>
          </w:p>
        </w:tc>
      </w:tr>
      <w:tr>
        <w:tc>
          <w:tcPr>
            <w:tcW w:type="dxa" w:w="230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Frontend tests</w:t>
            </w:r>
          </w:p>
        </w:tc>
        <w:tc>
          <w:tcPr>
            <w:tcW w:type="dxa" w:w="151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3 passed</w:t>
            </w:r>
          </w:p>
        </w:tc>
        <w:tc>
          <w:tcPr>
            <w:tcW w:type="dxa" w:w="619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Case listing, essential navigation, and theme behavior</w:t>
            </w:r>
          </w:p>
        </w:tc>
      </w:tr>
      <w:tr>
        <w:tc>
          <w:tcPr>
            <w:tcW w:type="dxa" w:w="230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Playwright</w:t>
            </w:r>
          </w:p>
        </w:tc>
        <w:tc>
          <w:tcPr>
            <w:tcW w:type="dxa" w:w="15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2 passed</w:t>
            </w:r>
          </w:p>
        </w:tc>
        <w:tc>
          <w:tcPr>
            <w:tcW w:type="dxa" w:w="619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Principal workflow and reproducible demo capture</w:t>
            </w:r>
          </w:p>
        </w:tc>
      </w:tr>
      <w:tr>
        <w:tc>
          <w:tcPr>
            <w:tcW w:type="dxa" w:w="230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Static analysis</w:t>
            </w:r>
          </w:p>
        </w:tc>
        <w:tc>
          <w:tcPr>
            <w:tcW w:type="dxa" w:w="151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Passed</w:t>
            </w:r>
          </w:p>
        </w:tc>
        <w:tc>
          <w:tcPr>
            <w:tcW w:type="dxa" w:w="619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Ruff and mypy for backend; lint and TypeScript checks for frontend</w:t>
            </w:r>
          </w:p>
        </w:tc>
      </w:tr>
      <w:tr>
        <w:tc>
          <w:tcPr>
            <w:tcW w:type="dxa" w:w="230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Production build</w:t>
            </w:r>
          </w:p>
        </w:tc>
        <w:tc>
          <w:tcPr>
            <w:tcW w:type="dxa" w:w="15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Passed</w:t>
            </w:r>
          </w:p>
        </w:tc>
        <w:tc>
          <w:tcPr>
            <w:tcW w:type="dxa" w:w="619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Vite production bundle</w:t>
            </w:r>
          </w:p>
        </w:tc>
      </w:tr>
      <w:tr>
        <w:tc>
          <w:tcPr>
            <w:tcW w:type="dxa" w:w="2304"/>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Dependency checks</w:t>
            </w:r>
          </w:p>
        </w:tc>
        <w:tc>
          <w:tcPr>
            <w:tcW w:type="dxa" w:w="151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Passed</w:t>
            </w:r>
          </w:p>
        </w:tc>
        <w:tc>
          <w:tcPr>
            <w:tcW w:type="dxa" w:w="6192"/>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Both npm audits reported zero vulnerabilities; pip check was clean</w:t>
            </w:r>
          </w:p>
        </w:tc>
      </w:tr>
      <w:tr>
        <w:tc>
          <w:tcPr>
            <w:tcW w:type="dxa" w:w="2304"/>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Report visual QA</w:t>
            </w:r>
          </w:p>
        </w:tc>
        <w:tc>
          <w:tcPr>
            <w:tcW w:type="dxa" w:w="151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Passed</w:t>
            </w:r>
          </w:p>
        </w:tc>
        <w:tc>
          <w:tcPr>
            <w:tcW w:type="dxa" w:w="6192"/>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Two generated PDF pages rendered and inspected</w:t>
            </w:r>
          </w:p>
        </w:tc>
      </w:tr>
    </w:tbl>
    <w:p>
      <w:pPr>
        <w:spacing w:after="0"/>
      </w:pPr>
    </w:p>
    <w:p>
      <w:pPr>
        <w:pStyle w:val="Heading1"/>
        <w:keepNext/>
      </w:pPr>
      <w:r>
        <w:rPr>
          <w:rFonts w:ascii="Helvetica Neue" w:hAnsi="Helvetica Neue"/>
        </w:rPr>
        <w:t>21 Known Limitations</w:t>
      </w:r>
    </w:p>
    <w:p>
      <w:pPr>
        <w:spacing w:after="80"/>
        <w:ind w:left="317" w:hanging="230"/>
      </w:pPr>
      <w:r>
        <w:rPr>
          <w:rFonts w:ascii="Helvetica Neue" w:hAnsi="Helvetica Neue"/>
          <w:b/>
          <w:sz w:val="21"/>
        </w:rPr>
        <w:t xml:space="preserve">• </w:t>
      </w:r>
      <w:r>
        <w:rPr>
          <w:rFonts w:ascii="Helvetica Neue" w:hAnsi="Helvetica Neue"/>
          <w:sz w:val="21"/>
        </w:rPr>
        <w:t>Metadata may be absent, incorrect, stale, rewritten by normal software, or stripped during transfer.</w:t>
      </w:r>
    </w:p>
    <w:p>
      <w:pPr>
        <w:spacing w:after="80"/>
        <w:ind w:left="317" w:hanging="230"/>
      </w:pPr>
      <w:r>
        <w:rPr>
          <w:rFonts w:ascii="Helvetica Neue" w:hAnsi="Helvetica Neue"/>
          <w:b/>
          <w:sz w:val="21"/>
        </w:rPr>
        <w:t xml:space="preserve">• </w:t>
      </w:r>
      <w:r>
        <w:rPr>
          <w:rFonts w:ascii="Helvetica Neue" w:hAnsi="Helvetica Neue"/>
          <w:sz w:val="21"/>
        </w:rPr>
        <w:t>SHA-256 equality proves only byte identity with the recorded acquisition copy.</w:t>
      </w:r>
    </w:p>
    <w:p>
      <w:pPr>
        <w:spacing w:after="80"/>
        <w:ind w:left="317" w:hanging="230"/>
      </w:pPr>
      <w:r>
        <w:rPr>
          <w:rFonts w:ascii="Helvetica Neue" w:hAnsi="Helvetica Neue"/>
          <w:b/>
          <w:sz w:val="21"/>
        </w:rPr>
        <w:t xml:space="preserve">• </w:t>
      </w:r>
      <w:r>
        <w:rPr>
          <w:rFonts w:ascii="Helvetica Neue" w:hAnsi="Helvetica Neue"/>
          <w:sz w:val="21"/>
        </w:rPr>
        <w:t>Camera grouping uses reported make and model metadata and is not device-level source attribution.</w:t>
      </w:r>
    </w:p>
    <w:p>
      <w:pPr>
        <w:spacing w:after="80"/>
        <w:ind w:left="317" w:hanging="230"/>
      </w:pPr>
      <w:r>
        <w:rPr>
          <w:rFonts w:ascii="Helvetica Neue" w:hAnsi="Helvetica Neue"/>
          <w:b/>
          <w:sz w:val="21"/>
        </w:rPr>
        <w:t xml:space="preserve">• </w:t>
      </w:r>
      <w:r>
        <w:rPr>
          <w:rFonts w:ascii="Helvetica Neue" w:hAnsi="Helvetica Neue"/>
          <w:sz w:val="21"/>
        </w:rPr>
        <w:t>Timezone-naive timestamps cannot be compared safely across places without a documented assumption.</w:t>
      </w:r>
    </w:p>
    <w:p>
      <w:pPr>
        <w:spacing w:after="80"/>
        <w:ind w:left="317" w:hanging="230"/>
      </w:pPr>
      <w:r>
        <w:rPr>
          <w:rFonts w:ascii="Helvetica Neue" w:hAnsi="Helvetica Neue"/>
          <w:b/>
          <w:sz w:val="21"/>
        </w:rPr>
        <w:t xml:space="preserve">• </w:t>
      </w:r>
      <w:r>
        <w:rPr>
          <w:rFonts w:ascii="Helvetica Neue" w:hAnsi="Helvetica Neue"/>
          <w:sz w:val="21"/>
        </w:rPr>
        <w:t>Coordinates may be inaccurate; route and speed results are derived from selected metadata.</w:t>
      </w:r>
    </w:p>
    <w:p>
      <w:pPr>
        <w:spacing w:after="80"/>
        <w:ind w:left="317" w:hanging="230"/>
      </w:pPr>
      <w:r>
        <w:rPr>
          <w:rFonts w:ascii="Helvetica Neue" w:hAnsi="Helvetica Neue"/>
          <w:b/>
          <w:sz w:val="21"/>
        </w:rPr>
        <w:t xml:space="preserve">• </w:t>
      </w:r>
      <w:r>
        <w:rPr>
          <w:rFonts w:ascii="Helvetica Neue" w:hAnsi="Helvetica Neue"/>
          <w:sz w:val="21"/>
        </w:rPr>
        <w:t>HEIC support depends on a separately installed safe parser and is not enabled by default.</w:t>
      </w:r>
    </w:p>
    <w:p>
      <w:pPr>
        <w:spacing w:after="80"/>
        <w:ind w:left="317" w:hanging="230"/>
      </w:pPr>
      <w:r>
        <w:rPr>
          <w:rFonts w:ascii="Helvetica Neue" w:hAnsi="Helvetica Neue"/>
          <w:b/>
          <w:sz w:val="21"/>
        </w:rPr>
        <w:t xml:space="preserve">• </w:t>
      </w:r>
      <w:r>
        <w:rPr>
          <w:rFonts w:ascii="Helvetica Neue" w:hAnsi="Helvetica Neue"/>
          <w:sz w:val="21"/>
        </w:rPr>
        <w:t>The in-process local job runner is appropriate for the MVP, not for a multi-user distributed deployment.</w:t>
      </w:r>
    </w:p>
    <w:p>
      <w:pPr>
        <w:spacing w:after="80"/>
        <w:ind w:left="317" w:hanging="230"/>
      </w:pPr>
      <w:r>
        <w:rPr>
          <w:rFonts w:ascii="Helvetica Neue" w:hAnsi="Helvetica Neue"/>
          <w:b/>
          <w:sz w:val="21"/>
        </w:rPr>
        <w:t xml:space="preserve">• </w:t>
      </w:r>
      <w:r>
        <w:rPr>
          <w:rFonts w:ascii="Helvetica Neue" w:hAnsi="Helvetica Neue"/>
          <w:sz w:val="21"/>
        </w:rPr>
        <w:t>The public demonstration site does not process evidence. The full application runs locally by design.</w:t>
      </w:r>
    </w:p>
    <w:p>
      <w:pPr>
        <w:pStyle w:val="Heading1"/>
        <w:keepNext/>
      </w:pPr>
      <w:r>
        <w:rPr>
          <w:rFonts w:ascii="Helvetica Neue" w:hAnsi="Helvetica Neue"/>
        </w:rPr>
        <w:t>22 Future Development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trPr>
        <w:tc>
          <w:tcPr>
            <w:tcW w:type="dxa" w:w="144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Priority</w:t>
            </w:r>
          </w:p>
        </w:tc>
        <w:tc>
          <w:tcPr>
            <w:tcW w:type="dxa" w:w="3528"/>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Possible extension</w:t>
            </w:r>
          </w:p>
        </w:tc>
        <w:tc>
          <w:tcPr>
            <w:tcW w:type="dxa" w:w="5040"/>
            <w:vAlign w:val="center"/>
            <w:tcMar>
              <w:top w:w="100" w:type="dxa"/>
              <w:start w:w="120" w:type="dxa"/>
              <w:bottom w:w="100" w:type="dxa"/>
              <w:end w:w="120" w:type="dxa"/>
            </w:tcMar>
            <w:shd w:fill="17324D"/>
          </w:tcPr>
          <w:p>
            <w:pPr>
              <w:spacing w:after="0" w:line="252" w:lineRule="auto"/>
            </w:pPr>
            <w:r>
              <w:rPr>
                <w:rFonts w:ascii="Helvetica Neue" w:hAnsi="Helvetica Neue"/>
                <w:b/>
                <w:color w:val="FFFFFF"/>
                <w:sz w:val="18"/>
              </w:rPr>
              <w:t>Required safeguard</w:t>
            </w:r>
          </w:p>
        </w:tc>
      </w:tr>
      <w:tr>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Near term</w:t>
            </w:r>
          </w:p>
        </w:tc>
        <w:tc>
          <w:tcPr>
            <w:tcW w:type="dxa" w:w="352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Improved metadata-based camera grouping and duplicate review</w:t>
            </w:r>
          </w:p>
        </w:tc>
        <w:tc>
          <w:tcPr>
            <w:tcW w:type="dxa" w:w="50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Keep supporting values visible and avoid device attribution claims</w:t>
            </w:r>
          </w:p>
        </w:tc>
      </w:tr>
      <w:tr>
        <w:tc>
          <w:tcPr>
            <w:tcW w:type="dxa" w:w="14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Near term</w:t>
            </w:r>
          </w:p>
        </w:tc>
        <w:tc>
          <w:tcPr>
            <w:tcW w:type="dxa" w:w="352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Packaging and signed desktop distribution</w:t>
            </w:r>
          </w:p>
        </w:tc>
        <w:tc>
          <w:tcPr>
            <w:tcW w:type="dxa" w:w="50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Preserve controlled storage and reproducible builds</w:t>
            </w:r>
          </w:p>
        </w:tc>
      </w:tr>
      <w:tr>
        <w:tc>
          <w:tcPr>
            <w:tcW w:type="dxa" w:w="14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Later</w:t>
            </w:r>
          </w:p>
        </w:tc>
        <w:tc>
          <w:tcPr>
            <w:tcW w:type="dxa" w:w="3528"/>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Optional local tile packages</w:t>
            </w:r>
          </w:p>
        </w:tc>
        <w:tc>
          <w:tcPr>
            <w:tcW w:type="dxa" w:w="5040"/>
            <w:vAlign w:val="center"/>
            <w:tcMar>
              <w:top w:w="100" w:type="dxa"/>
              <w:start w:w="120" w:type="dxa"/>
              <w:bottom w:w="100" w:type="dxa"/>
              <w:end w:w="120" w:type="dxa"/>
            </w:tcMar>
            <w:shd w:fill="FFFFFF"/>
          </w:tcPr>
          <w:p>
            <w:pPr>
              <w:spacing w:after="0" w:line="252" w:lineRule="auto"/>
            </w:pPr>
            <w:r>
              <w:rPr>
                <w:rFonts w:ascii="Helvetica Neue" w:hAnsi="Helvetica Neue"/>
                <w:b w:val="0"/>
                <w:color w:val="000000"/>
                <w:sz w:val="18"/>
              </w:rPr>
              <w:t>No implicit external coordinate transmission</w:t>
            </w:r>
          </w:p>
        </w:tc>
      </w:tr>
      <w:tr>
        <w:tc>
          <w:tcPr>
            <w:tcW w:type="dxa" w:w="14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Experimental</w:t>
            </w:r>
          </w:p>
        </w:tc>
        <w:tc>
          <w:tcPr>
            <w:tcW w:type="dxa" w:w="3528"/>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Controlled PRNU research module</w:t>
            </w:r>
          </w:p>
        </w:tc>
        <w:tc>
          <w:tcPr>
            <w:tcW w:type="dxa" w:w="5040"/>
            <w:vAlign w:val="center"/>
            <w:tcMar>
              <w:top w:w="100" w:type="dxa"/>
              <w:start w:w="120" w:type="dxa"/>
              <w:bottom w:w="100" w:type="dxa"/>
              <w:end w:w="120" w:type="dxa"/>
            </w:tcMar>
            <w:shd w:fill="F4F7FA"/>
          </w:tcPr>
          <w:p>
            <w:pPr>
              <w:spacing w:after="0" w:line="252" w:lineRule="auto"/>
            </w:pPr>
            <w:r>
              <w:rPr>
                <w:rFonts w:ascii="Helvetica Neue" w:hAnsi="Helvetica Neue"/>
                <w:b w:val="0"/>
                <w:color w:val="000000"/>
                <w:sz w:val="18"/>
              </w:rPr>
              <w:t>Separate experimental labelling and detailed reliability limitations for resizing, denoising, HDR, recompression, screenshots, editing, and social media processing</w:t>
            </w:r>
          </w:p>
        </w:tc>
      </w:tr>
    </w:tbl>
    <w:p>
      <w:pPr>
        <w:spacing w:after="0"/>
      </w:pPr>
    </w:p>
    <w:p>
      <w:pPr>
        <w:pStyle w:val="Heading1"/>
        <w:keepNext/>
      </w:pPr>
      <w:r>
        <w:rPr>
          <w:rFonts w:ascii="Helvetica Neue" w:hAnsi="Helvetica Neue"/>
        </w:rPr>
        <w:t>23 Completion and Next Steps</w:t>
      </w:r>
    </w:p>
    <w:p>
      <w:pPr>
        <w:spacing w:after="140" w:line="269" w:lineRule="auto"/>
      </w:pPr>
      <w:r>
        <w:rPr>
          <w:rFonts w:ascii="Helvetica Neue" w:hAnsi="Helvetica Neue"/>
          <w:sz w:val="21"/>
        </w:rPr>
        <w:t>The complete MVP exists as a committed local Git repository and runs through the documented PowerShell or Unix-like commands. The public website demonstrates the interface and methodology without accepting evidence. The live demonstration is https://image-trace-demo.eshaansarkhawas007.chatgpt.site and the source repository URL is https://github.com/EshaanS013/image-trace.</w:t>
      </w:r>
    </w:p>
    <w:p>
      <w:pPr>
        <w:spacing w:after="140" w:line="269" w:lineRule="auto"/>
      </w:pPr>
      <w:r>
        <w:rPr>
          <w:rFonts w:ascii="Helvetica Neue" w:hAnsi="Helvetica Neue"/>
          <w:sz w:val="21"/>
        </w:rPr>
        <w:t>To use the project, run the database migration, start the backend and frontend, create a case, upload only synthetic or consented images, review the extracted values and qualified findings, and generate a report from the completed analysis run. Retain the PDF with its separate SHA-256 manifest when transferring the result.</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00000"/>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00000"/>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00000"/>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IMAGE TRACE Project Guide and System Methodology</dc:title>
  <cp:lastModifiedBy>python-docx</cp:lastModifiedBy>
  <cp:revision>1</cp:revision>
  <dcterms:modified xsi:type="dcterms:W3CDTF">2026-09-10T03:24:49Z</dcterms:modified>
  <dc:subject>Architecture, evidence methodology, operation, and responsible use</dc:subject>
  <dc:creator>Eshaan Sarkhawas</dc:creator>
  <cp:keywords>IMAGE TRACE, image metadata, SHA-256, evidence integrity, FastAPI, React</cp:keywords>
</cp:coreProperties>
</file>