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1CE0" w14:textId="3BDE4315" w:rsidR="00C256A2" w:rsidRPr="00C256A2" w:rsidRDefault="00C256A2" w:rsidP="00C256A2">
      <w:pPr>
        <w:jc w:val="both"/>
        <w:rPr>
          <w:b/>
          <w:bCs/>
          <w:sz w:val="28"/>
          <w:szCs w:val="28"/>
        </w:rPr>
      </w:pPr>
      <w:r w:rsidRPr="00C256A2">
        <w:rPr>
          <w:b/>
          <w:bCs/>
          <w:sz w:val="28"/>
          <w:szCs w:val="28"/>
        </w:rPr>
        <w:t>Here's the Xpert Fintech e-KYC project timeline across 180 days, structured in 5 phases</w:t>
      </w:r>
      <w:r>
        <w:rPr>
          <w:b/>
          <w:bCs/>
          <w:sz w:val="28"/>
          <w:szCs w:val="28"/>
        </w:rPr>
        <w:t>:</w:t>
      </w:r>
    </w:p>
    <w:p w14:paraId="6524BABA" w14:textId="3AE2C801" w:rsidR="00C256A2" w:rsidRPr="00C256A2" w:rsidRDefault="00C256A2" w:rsidP="00C256A2">
      <w:pPr>
        <w:jc w:val="both"/>
      </w:pPr>
    </w:p>
    <w:p w14:paraId="4D1C6D6D" w14:textId="77777777" w:rsidR="00C256A2" w:rsidRPr="00C256A2" w:rsidRDefault="00C256A2" w:rsidP="00C256A2">
      <w:pPr>
        <w:jc w:val="both"/>
      </w:pPr>
      <w:r w:rsidRPr="00C256A2">
        <w:rPr>
          <w:b/>
          <w:bCs/>
        </w:rPr>
        <w:t>Phase 1 — Foundation &amp; Infrastructure (Days 1–35)</w:t>
      </w:r>
    </w:p>
    <w:p w14:paraId="569ED21A" w14:textId="77777777" w:rsidR="00C256A2" w:rsidRPr="00C256A2" w:rsidRDefault="00C256A2" w:rsidP="00C256A2">
      <w:pPr>
        <w:jc w:val="both"/>
      </w:pPr>
      <w:r w:rsidRPr="00C256A2">
        <w:t>This phase establishes everything the rest of the project depends on. The first 10 days are spent purely on project setup: repository structure, CI/CD pipeline via GitHub Actions, Docker and docker-compose local environments, PostgreSQL and Redis configuration, and the multi-tenant database schema design. Getting the schema right here is critical — retrofitting multi-tenancy later is one of the most expensive mistakes in SaaS development.</w:t>
      </w:r>
    </w:p>
    <w:p w14:paraId="25EF11AE" w14:textId="1DC877DC" w:rsidR="00C256A2" w:rsidRPr="00C256A2" w:rsidRDefault="00C256A2" w:rsidP="00C256A2">
      <w:pPr>
        <w:jc w:val="both"/>
      </w:pPr>
      <w:r w:rsidRPr="00C256A2">
        <w:t xml:space="preserve">Days 11–25 cover authentication and user management. This includes the role-based access control system (five roles: Admin, Checker, Maker, Agent, Auditor), two-factor authentication via both TOTP and OTP, JWT session management, IP whitelisting per institution, and the agent registration system with geo-tagging. This module must be </w:t>
      </w:r>
      <w:r>
        <w:t>completed</w:t>
      </w:r>
      <w:r w:rsidRPr="00C256A2">
        <w:t xml:space="preserve"> before any other module begins user-facing work.</w:t>
      </w:r>
    </w:p>
    <w:p w14:paraId="5F85F8B5" w14:textId="77777777" w:rsidR="00C256A2" w:rsidRPr="00C256A2" w:rsidRDefault="00C256A2" w:rsidP="00C256A2">
      <w:pPr>
        <w:jc w:val="both"/>
      </w:pPr>
      <w:r w:rsidRPr="00C256A2">
        <w:t xml:space="preserve">Days 20–35 run in parallel and cover the NID integration layer — the single most critical dependency in the entire project. This involves establishing the Election Commission NID API connection, building the OCR engine with a custom-trained Tesseract model for Bangladesh NID cards, implementing Bangla and English field extraction, and building the session/attempt limiter in Redis. </w:t>
      </w:r>
      <w:r w:rsidRPr="00C256A2">
        <w:rPr>
          <w:b/>
          <w:bCs/>
        </w:rPr>
        <w:t>The NID API sandbox access request must be filed on Day 1.</w:t>
      </w:r>
      <w:r w:rsidRPr="00C256A2">
        <w:t xml:space="preserve"> Government API access in Bangladesh carries unpredictable lead times and can delay the entire biometric development stream if not started immediately.</w:t>
      </w:r>
    </w:p>
    <w:p w14:paraId="31A30FF2" w14:textId="2572A9A4" w:rsidR="00C256A2" w:rsidRPr="00C256A2" w:rsidRDefault="00C256A2" w:rsidP="00C256A2">
      <w:pPr>
        <w:jc w:val="both"/>
      </w:pPr>
    </w:p>
    <w:p w14:paraId="57A788BC" w14:textId="77777777" w:rsidR="00C256A2" w:rsidRPr="00C256A2" w:rsidRDefault="00C256A2" w:rsidP="00C256A2">
      <w:pPr>
        <w:jc w:val="both"/>
      </w:pPr>
      <w:r w:rsidRPr="00C256A2">
        <w:rPr>
          <w:b/>
          <w:bCs/>
        </w:rPr>
        <w:t>Phase 2 — Core e-KYC Engine (Days 36–90)</w:t>
      </w:r>
    </w:p>
    <w:p w14:paraId="51357B9F" w14:textId="77777777" w:rsidR="00C256A2" w:rsidRPr="00C256A2" w:rsidRDefault="00C256A2" w:rsidP="00C256A2">
      <w:pPr>
        <w:jc w:val="both"/>
      </w:pPr>
      <w:r w:rsidRPr="00C256A2">
        <w:t>This is the longest and most complex phase. Four modules run in partial parallel.</w:t>
      </w:r>
    </w:p>
    <w:p w14:paraId="0BD46F1D" w14:textId="42A45028" w:rsidR="00C256A2" w:rsidRPr="00C256A2" w:rsidRDefault="00C256A2" w:rsidP="00C256A2">
      <w:pPr>
        <w:jc w:val="both"/>
      </w:pPr>
      <w:r w:rsidRPr="00C256A2">
        <w:t>The fingerprint onboarding module (Days 36–60) integrates the hardware fingerprint SDK (</w:t>
      </w:r>
      <w:proofErr w:type="spellStart"/>
      <w:r w:rsidRPr="00C256A2">
        <w:t>DigitalPersona</w:t>
      </w:r>
      <w:proofErr w:type="spellEnd"/>
      <w:r w:rsidRPr="00C256A2">
        <w:t xml:space="preserve"> or Mantra), builds the 5-step onboarding wizard, enforces the 10-attempts-per-session and 2-sessions-per-day Redis limits, and implements the automatic fallback to face matching after 3 failed sessions. The vendor abstraction layer is built here</w:t>
      </w:r>
      <w:r>
        <w:t>,</w:t>
      </w:r>
      <w:r w:rsidRPr="00C256A2">
        <w:t xml:space="preserve"> so the platform is not locked to a single fingerprint hardware vendor.</w:t>
      </w:r>
    </w:p>
    <w:p w14:paraId="6FB751AC" w14:textId="307F938D" w:rsidR="00C256A2" w:rsidRPr="00C256A2" w:rsidRDefault="00C256A2" w:rsidP="00C256A2">
      <w:pPr>
        <w:jc w:val="both"/>
      </w:pPr>
      <w:r w:rsidRPr="00C256A2">
        <w:t xml:space="preserve">The face matching module (Days 45–75) is the most technically demanding piece of the entire project and runs concurrently with the fingerprint module. It includes the liveness detection stack (passive anti-spoofing plus active 3D depth sensing), the </w:t>
      </w:r>
      <w:r>
        <w:t>self-check-in</w:t>
      </w:r>
      <w:r w:rsidRPr="00C256A2">
        <w:t xml:space="preserve"> Progressive Web App with guided camera flows, the OCR-to-form pipeline using NID photographs, and the face matching </w:t>
      </w:r>
      <w:r w:rsidRPr="00C256A2">
        <w:lastRenderedPageBreak/>
        <w:t xml:space="preserve">API integration against the EC database. This module should begin prototype work on liveness detection as early as </w:t>
      </w:r>
      <w:proofErr w:type="spellStart"/>
      <w:r w:rsidRPr="00C256A2">
        <w:t>Day</w:t>
      </w:r>
      <w:proofErr w:type="spellEnd"/>
      <w:r w:rsidRPr="00C256A2">
        <w:t xml:space="preserve"> 36 because accuracy on low-end Android devices (the BDT 5,000–15,000 range dominant in Bangladesh) must be validated on real hardware before the module is considered done.</w:t>
      </w:r>
    </w:p>
    <w:p w14:paraId="66C51EC8" w14:textId="77777777" w:rsidR="00C256A2" w:rsidRPr="00C256A2" w:rsidRDefault="00C256A2" w:rsidP="00C256A2">
      <w:pPr>
        <w:jc w:val="both"/>
      </w:pPr>
      <w:r w:rsidRPr="00C256A2">
        <w:t>The KYC profile builder (Days 65–90) constructs the output profiles specified in the guideline — the Simplified e-KYC profile per Section 6.1 and the Regular e-KYC profile per Section 6.2 — along with nominee management, joint account support, digital signature capture, and PIN fallback for low-risk accounts.</w:t>
      </w:r>
    </w:p>
    <w:p w14:paraId="333ABCB1" w14:textId="77777777" w:rsidR="00C256A2" w:rsidRPr="00C256A2" w:rsidRDefault="00C256A2" w:rsidP="00C256A2">
      <w:pPr>
        <w:jc w:val="both"/>
      </w:pPr>
      <w:r w:rsidRPr="00C256A2">
        <w:t>The threshold and product engine (Days 70–90) implements the automated routing logic that determines whether a customer gets a Simplified or Regular onboarding based on their product type and the BFIU thresholds. Critically, all thresholds are stored in the database and configurable via the admin panel — not hardcoded — so when BFIU updates thresholds (which they have done historically), the platform responds with a configuration change rather than a code deployment.</w:t>
      </w:r>
    </w:p>
    <w:p w14:paraId="45F71157" w14:textId="53169C2F" w:rsidR="00C256A2" w:rsidRPr="00C256A2" w:rsidRDefault="00C256A2" w:rsidP="00C256A2">
      <w:pPr>
        <w:jc w:val="both"/>
      </w:pPr>
    </w:p>
    <w:p w14:paraId="2A4D5578" w14:textId="77777777" w:rsidR="00C256A2" w:rsidRPr="00C256A2" w:rsidRDefault="00C256A2" w:rsidP="00C256A2">
      <w:pPr>
        <w:jc w:val="both"/>
      </w:pPr>
      <w:r w:rsidRPr="00C256A2">
        <w:rPr>
          <w:b/>
          <w:bCs/>
        </w:rPr>
        <w:t>Phase 3 — Risk, Screening &amp; CDD Lifecycle (Days 91–135)</w:t>
      </w:r>
    </w:p>
    <w:p w14:paraId="73D49982" w14:textId="77777777" w:rsidR="00C256A2" w:rsidRPr="00C256A2" w:rsidRDefault="00C256A2" w:rsidP="00C256A2">
      <w:pPr>
        <w:jc w:val="both"/>
      </w:pPr>
      <w:r w:rsidRPr="00C256A2">
        <w:t>This phase gives the platform its compliance intelligence.</w:t>
      </w:r>
    </w:p>
    <w:p w14:paraId="3E1203EB" w14:textId="77777777" w:rsidR="00C256A2" w:rsidRPr="00C256A2" w:rsidRDefault="00C256A2" w:rsidP="00C256A2">
      <w:pPr>
        <w:jc w:val="both"/>
      </w:pPr>
      <w:r w:rsidRPr="00C256A2">
        <w:t>The risk grading engine (Days 91–120) implements the automated scoring system for both the Insurance Company form (Section 6.3.1) and the CMI form (Section 6.3.2). All seven risk dimensions — onboarding type, geographic risk, customer type, product risk, business and activity risk from Annexure-1, transactional risk, and transparency risk — are encoded as database-backed scoring tables. The engine runs in real-time during onboarding and triggers automatic EDD escalation when scores reach 15 or above, or when an IP/PEP flag is raised regardless of numerical score. The full Annexure-1 profession and business lookup tables are built and made searchable.</w:t>
      </w:r>
    </w:p>
    <w:p w14:paraId="542D133B" w14:textId="77777777" w:rsidR="00C256A2" w:rsidRPr="00C256A2" w:rsidRDefault="00C256A2" w:rsidP="00C256A2">
      <w:pPr>
        <w:jc w:val="both"/>
      </w:pPr>
      <w:r w:rsidRPr="00C256A2">
        <w:t>The sanctions and screening engine (Days 100–125) integrates UNSCR screening with a locally-maintained, daily-refreshed copy of the UN consolidated list. It adds IP/PEP screening for Regular e-KYC, adverse media integration, and exit list management. The fuzzy name matching algorithm must handle Bangladeshi name transliterations and romanization variations — a non-trivial NLP problem that requires dedicated time. Commercial screening API procurement should be initiated in Phase 2 to avoid delays here.</w:t>
      </w:r>
    </w:p>
    <w:p w14:paraId="60479580" w14:textId="77777777" w:rsidR="00C256A2" w:rsidRPr="00C256A2" w:rsidRDefault="00C256A2" w:rsidP="00C256A2">
      <w:pPr>
        <w:jc w:val="both"/>
      </w:pPr>
      <w:r w:rsidRPr="00C256A2">
        <w:t xml:space="preserve">The KYC lifecycle management module (Days 115–135) builds the long-running compliance operations: the Celery-based periodic review scheduler (1-year for high risk, 2-year for medium, 5-year for low), the tokenized self-declaration flow for no-change scenarios, the address change </w:t>
      </w:r>
      <w:r w:rsidRPr="00C256A2">
        <w:lastRenderedPageBreak/>
        <w:t>verification workflow with 2-month SLA enforcement, the minor-to-major account conversion trigger, and the full Simplified-to-Regular upgrade path.</w:t>
      </w:r>
    </w:p>
    <w:p w14:paraId="53837BE1" w14:textId="77777777" w:rsidR="00C256A2" w:rsidRPr="00C256A2" w:rsidRDefault="00C256A2" w:rsidP="00C256A2">
      <w:pPr>
        <w:jc w:val="both"/>
      </w:pPr>
      <w:r w:rsidRPr="00C256A2">
        <w:rPr>
          <w:b/>
          <w:bCs/>
        </w:rPr>
        <w:t>Phase 4 — Administration, Audit &amp; API Platform (Days 136–165)</w:t>
      </w:r>
    </w:p>
    <w:p w14:paraId="76344D76" w14:textId="77777777" w:rsidR="00C256A2" w:rsidRPr="00C256A2" w:rsidRDefault="00C256A2" w:rsidP="00C256A2">
      <w:pPr>
        <w:jc w:val="both"/>
      </w:pPr>
      <w:r w:rsidRPr="00C256A2">
        <w:t>With core functionality complete, this phase makes the platform auditable, administrable, and extensible.</w:t>
      </w:r>
    </w:p>
    <w:p w14:paraId="4F8CA931" w14:textId="77777777" w:rsidR="00C256A2" w:rsidRPr="00C256A2" w:rsidRDefault="00C256A2" w:rsidP="00C256A2">
      <w:pPr>
        <w:jc w:val="both"/>
      </w:pPr>
      <w:r w:rsidRPr="00C256A2">
        <w:t>The audit trail and reporting module (Days 136–158) builds the immutable audit log that records every state transition in the system, the maker-checker workflow with dual approval for sensitive operations, the 5-year data retention policy enforcement, BFIU-ready export formats in JSON, PDF, and CSV, and the compliance dashboard that gives institutions a real-time view of their compliance posture — pending reviews, high-risk accounts awaiting EDD, failed onboardings, and screening hits.</w:t>
      </w:r>
    </w:p>
    <w:p w14:paraId="2F4A184F" w14:textId="77777777" w:rsidR="00C256A2" w:rsidRDefault="00C256A2" w:rsidP="00C256A2">
      <w:pPr>
        <w:jc w:val="both"/>
      </w:pPr>
      <w:r w:rsidRPr="00C256A2">
        <w:t xml:space="preserve">The third-party API and gateway module (Days 140–165) exposes the platform to the outside world. This includes the versioned REST API with full </w:t>
      </w:r>
      <w:proofErr w:type="spellStart"/>
      <w:r w:rsidRPr="00C256A2">
        <w:t>OpenAPI</w:t>
      </w:r>
      <w:proofErr w:type="spellEnd"/>
      <w:r w:rsidRPr="00C256A2">
        <w:t xml:space="preserve"> documentation, the webhook engine for onboarding status events, the data residency enforcement middleware that prevents PII from being transmitted to non-whitelisted external domains, and the white-label React component SDK that allows institutions to embed Xpert e-KYC flows into their own applications.</w:t>
      </w:r>
    </w:p>
    <w:p w14:paraId="7DF67791" w14:textId="77777777" w:rsidR="00C256A2" w:rsidRDefault="00C256A2" w:rsidP="00C256A2">
      <w:pPr>
        <w:jc w:val="both"/>
      </w:pPr>
    </w:p>
    <w:p w14:paraId="34161AC7" w14:textId="5AE77EC0" w:rsidR="00C256A2" w:rsidRPr="00C256A2" w:rsidRDefault="00C256A2" w:rsidP="00C256A2">
      <w:pPr>
        <w:jc w:val="both"/>
      </w:pPr>
      <w:r w:rsidRPr="00C256A2">
        <w:rPr>
          <w:b/>
          <w:bCs/>
        </w:rPr>
        <w:t>Phase 5 — UAT, Security Audit &amp; Launch (Days 166–180)</w:t>
      </w:r>
    </w:p>
    <w:p w14:paraId="4F0E0255" w14:textId="77777777" w:rsidR="00C256A2" w:rsidRPr="00C256A2" w:rsidRDefault="00C256A2" w:rsidP="00C256A2">
      <w:pPr>
        <w:jc w:val="both"/>
      </w:pPr>
      <w:r w:rsidRPr="00C256A2">
        <w:t>The final 15 days are not a soft landing — they are a structured verification sprint.</w:t>
      </w:r>
    </w:p>
    <w:p w14:paraId="677C6000" w14:textId="77777777" w:rsidR="00C256A2" w:rsidRPr="00C256A2" w:rsidRDefault="00C256A2" w:rsidP="00C256A2">
      <w:pPr>
        <w:jc w:val="both"/>
      </w:pPr>
      <w:r w:rsidRPr="00C256A2">
        <w:t>Days 166–170 are dedicated to user acceptance testing with 2–3 pilot institutions: ideally one life insurance company, one non-life insurance company, and one CMI. Real agents conduct real onboardings against a staging environment populated with test NIDs. Every failed scenario — NID not found, fingerprint mismatch, face not detected, sanctions hit — must be exercised and verified to behave correctly.</w:t>
      </w:r>
    </w:p>
    <w:p w14:paraId="297BDA23" w14:textId="77777777" w:rsidR="00C256A2" w:rsidRPr="00C256A2" w:rsidRDefault="00C256A2" w:rsidP="00C256A2">
      <w:pPr>
        <w:jc w:val="both"/>
      </w:pPr>
      <w:r w:rsidRPr="00C256A2">
        <w:t>Days 171–174 cover the security audit: external penetration testing against the OWASP Top 10, load testing to simulate 500 concurrent onboardings to verify Redis and Celery throughput hold under pressure, and a BFIU compliance checklist review with legal counsel to confirm every regulatory obligation is met before go-live.</w:t>
      </w:r>
    </w:p>
    <w:p w14:paraId="0F6C270B" w14:textId="77777777" w:rsidR="00C256A2" w:rsidRPr="00C256A2" w:rsidRDefault="00C256A2" w:rsidP="00C256A2">
      <w:pPr>
        <w:jc w:val="both"/>
      </w:pPr>
      <w:r w:rsidRPr="00C256A2">
        <w:t>Days 175–178 are production deployment: provisioning the on-premise or private cloud infrastructure, final data migration scripts, DNS and SSL configuration, and monitoring stack setup (Sentry for error tracking, plus infrastructure monitoring).</w:t>
      </w:r>
    </w:p>
    <w:p w14:paraId="01E2D5D3" w14:textId="346243D6" w:rsidR="00A965B7" w:rsidRDefault="00C256A2" w:rsidP="00C256A2">
      <w:pPr>
        <w:jc w:val="both"/>
      </w:pPr>
      <w:r w:rsidRPr="00C256A2">
        <w:t>Days 179–180 are go-live: agent and compliance officer training sessions, helpdesk integration for failed e-KYC incident reporting, and the public launch communication to pilot institutions.</w:t>
      </w:r>
    </w:p>
    <w:sectPr w:rsidR="00A96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A2"/>
    <w:rsid w:val="00243064"/>
    <w:rsid w:val="002F3B9F"/>
    <w:rsid w:val="004C4364"/>
    <w:rsid w:val="00A523E3"/>
    <w:rsid w:val="00A965B7"/>
    <w:rsid w:val="00B853CF"/>
    <w:rsid w:val="00C2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2A14"/>
  <w15:chartTrackingRefBased/>
  <w15:docId w15:val="{F7FDFC96-41F5-4348-A681-48E05D38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56A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56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56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56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5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A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56A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56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56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56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5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A2"/>
    <w:rPr>
      <w:rFonts w:eastAsiaTheme="majorEastAsia" w:cstheme="majorBidi"/>
      <w:color w:val="272727" w:themeColor="text1" w:themeTint="D8"/>
    </w:rPr>
  </w:style>
  <w:style w:type="paragraph" w:styleId="Title">
    <w:name w:val="Title"/>
    <w:basedOn w:val="Normal"/>
    <w:next w:val="Normal"/>
    <w:link w:val="TitleChar"/>
    <w:uiPriority w:val="10"/>
    <w:qFormat/>
    <w:rsid w:val="00C25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A2"/>
    <w:pPr>
      <w:spacing w:before="160"/>
      <w:jc w:val="center"/>
    </w:pPr>
    <w:rPr>
      <w:i/>
      <w:iCs/>
      <w:color w:val="404040" w:themeColor="text1" w:themeTint="BF"/>
    </w:rPr>
  </w:style>
  <w:style w:type="character" w:customStyle="1" w:styleId="QuoteChar">
    <w:name w:val="Quote Char"/>
    <w:basedOn w:val="DefaultParagraphFont"/>
    <w:link w:val="Quote"/>
    <w:uiPriority w:val="29"/>
    <w:rsid w:val="00C256A2"/>
    <w:rPr>
      <w:i/>
      <w:iCs/>
      <w:color w:val="404040" w:themeColor="text1" w:themeTint="BF"/>
    </w:rPr>
  </w:style>
  <w:style w:type="paragraph" w:styleId="ListParagraph">
    <w:name w:val="List Paragraph"/>
    <w:basedOn w:val="Normal"/>
    <w:uiPriority w:val="34"/>
    <w:qFormat/>
    <w:rsid w:val="00C256A2"/>
    <w:pPr>
      <w:ind w:left="720"/>
      <w:contextualSpacing/>
    </w:pPr>
  </w:style>
  <w:style w:type="character" w:styleId="IntenseEmphasis">
    <w:name w:val="Intense Emphasis"/>
    <w:basedOn w:val="DefaultParagraphFont"/>
    <w:uiPriority w:val="21"/>
    <w:qFormat/>
    <w:rsid w:val="00C256A2"/>
    <w:rPr>
      <w:i/>
      <w:iCs/>
      <w:color w:val="2E74B5" w:themeColor="accent1" w:themeShade="BF"/>
    </w:rPr>
  </w:style>
  <w:style w:type="paragraph" w:styleId="IntenseQuote">
    <w:name w:val="Intense Quote"/>
    <w:basedOn w:val="Normal"/>
    <w:next w:val="Normal"/>
    <w:link w:val="IntenseQuoteChar"/>
    <w:uiPriority w:val="30"/>
    <w:qFormat/>
    <w:rsid w:val="00C256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56A2"/>
    <w:rPr>
      <w:i/>
      <w:iCs/>
      <w:color w:val="2E74B5" w:themeColor="accent1" w:themeShade="BF"/>
    </w:rPr>
  </w:style>
  <w:style w:type="character" w:styleId="IntenseReference">
    <w:name w:val="Intense Reference"/>
    <w:basedOn w:val="DefaultParagraphFont"/>
    <w:uiPriority w:val="32"/>
    <w:qFormat/>
    <w:rsid w:val="00C256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Barua</dc:creator>
  <cp:keywords/>
  <dc:description/>
  <cp:lastModifiedBy>Eshan Barua</cp:lastModifiedBy>
  <cp:revision>1</cp:revision>
  <dcterms:created xsi:type="dcterms:W3CDTF">2026-04-15T04:08:00Z</dcterms:created>
  <dcterms:modified xsi:type="dcterms:W3CDTF">2026-04-15T04:09:00Z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ac77a2cf-d5ee-4b32-b006-97657218cbda</vt:lpwstr>
  </property>
</Properties>
</file>