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293B"/>
          <w:sz w:val="48"/>
        </w:rPr>
        <w:t>Pheneon NPU: Architectural Specification &amp; Theory</w:t>
      </w:r>
    </w:p>
    <w:p>
      <w:pPr>
        <w:spacing w:after="480"/>
        <w:jc w:val="center"/>
      </w:pPr>
      <w:r>
        <w:rPr>
          <w:rFonts w:ascii="Calibri" w:hAnsi="Calibri"/>
          <w:i/>
          <w:color w:val="0F766E"/>
          <w:sz w:val="26"/>
        </w:rPr>
        <w:t>High-Performance Neural Processing Unit &amp; PyTorch Compilation Framework</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144" w:right="144"/>
            </w:pPr>
            <w:r>
              <w:rPr>
                <w:b/>
                <w:color w:val="1E293B"/>
                <w:sz w:val="21"/>
              </w:rPr>
              <w:t xml:space="preserve">NOTICE: </w:t>
            </w:r>
            <w:r>
              <w:rPr>
                <w:i/>
                <w:color w:val="334155"/>
                <w:sz w:val="21"/>
              </w:rPr>
              <w:t>CONFIDENTIALITY NOTICE: This document outlines the core architectural specifications and theoretical models of the Pheneon NPU framework. All underlying logic, systolic array schematics, and quantization compilers are proprietary intellectual property of Pheneon.</w:t>
            </w:r>
          </w:p>
        </w:tc>
      </w:tr>
    </w:tbl>
    <w:p>
      <w:pPr>
        <w:spacing w:before="0" w:after="120"/>
      </w:pPr>
    </w:p>
    <w:p>
      <w:pPr>
        <w:keepNext/>
        <w:spacing w:before="320" w:after="120"/>
      </w:pPr>
      <w:r>
        <w:rPr>
          <w:rFonts w:ascii="Calibri" w:hAnsi="Calibri"/>
          <w:b/>
          <w:color w:val="1E293B"/>
          <w:sz w:val="32"/>
        </w:rPr>
        <w:t>1. Executive Summary &amp; Core Mission</w:t>
      </w:r>
    </w:p>
    <w:p>
      <w:r>
        <w:t>The Pheneon Neural Processing Unit (NPU) is an application-specific hardware accelerator designed to overcome the fundamental limitations of traditional von Neumann computing architectures when executing deep learning models. By coupling a custom spatial systolic array with an optimized PyTorch-to-hardware compilation pipeline, Pheneon eliminates off-chip memory bottlenecks, slashes power consumption, and achieves ultra-low latency inference for edge and datacenter workloads.</w:t>
      </w:r>
    </w:p>
    <w:p>
      <w:pPr>
        <w:keepNext/>
        <w:spacing w:before="320" w:after="120"/>
      </w:pPr>
      <w:r>
        <w:rPr>
          <w:rFonts w:ascii="Calibri" w:hAnsi="Calibri"/>
          <w:b/>
          <w:color w:val="1E293B"/>
          <w:sz w:val="32"/>
        </w:rPr>
        <w:t>2. Architectural Specifications</w:t>
      </w:r>
    </w:p>
    <w:p>
      <w:r>
        <w:t>The Pheneon NPU architecture is engineered around modular scalability, deterministic dataflow, and high arithmetic intensity:</w:t>
      </w:r>
    </w:p>
    <w:p>
      <w:pPr>
        <w:pStyle w:val="ListBullet"/>
        <w:spacing w:after="60"/>
      </w:pPr>
      <w:r>
        <w:rPr>
          <w:b/>
          <w:color w:val="1E293B"/>
        </w:rPr>
        <w:t xml:space="preserve">Core Microarchitecture: </w:t>
      </w:r>
      <w:r>
        <w:t>Scalable 2D Systolic Array (configurable dimensions from 16x16 to 64x64 Processing Elements).</w:t>
      </w:r>
    </w:p>
    <w:p>
      <w:pPr>
        <w:pStyle w:val="ListBullet"/>
        <w:spacing w:after="60"/>
      </w:pPr>
      <w:r>
        <w:rPr>
          <w:b/>
          <w:color w:val="1E293B"/>
        </w:rPr>
        <w:t xml:space="preserve">Data Precision Support: </w:t>
      </w:r>
      <w:r>
        <w:t>Mixed-precision execution supporting INT8, INT16, and FP16 with dynamic runtime quantization scaling.</w:t>
      </w:r>
    </w:p>
    <w:p>
      <w:pPr>
        <w:pStyle w:val="ListBullet"/>
        <w:spacing w:after="60"/>
      </w:pPr>
      <w:r>
        <w:rPr>
          <w:b/>
          <w:color w:val="1E293B"/>
        </w:rPr>
        <w:t xml:space="preserve">On-Chip Memory Hierarchy: </w:t>
      </w:r>
      <w:r>
        <w:t>Scratchpad SRAM with distributed double-buffering to hide memory latency and maximize compute unit utilization.</w:t>
      </w:r>
    </w:p>
    <w:p>
      <w:pPr>
        <w:pStyle w:val="ListBullet"/>
        <w:spacing w:after="60"/>
      </w:pPr>
      <w:r>
        <w:rPr>
          <w:b/>
          <w:color w:val="1E293B"/>
        </w:rPr>
        <w:t xml:space="preserve">Interconnect Fabric: </w:t>
      </w:r>
      <w:r>
        <w:t>Low-latency AXI-Stream interface optimized for direct tensor streaming without CPU intervention.</w:t>
      </w:r>
    </w:p>
    <w:p>
      <w:pPr>
        <w:pStyle w:val="ListBullet"/>
        <w:spacing w:after="60"/>
      </w:pPr>
      <w:r>
        <w:rPr>
          <w:b/>
          <w:color w:val="1E293B"/>
        </w:rPr>
        <w:t xml:space="preserve">Target Silicon Nodes: </w:t>
      </w:r>
      <w:r>
        <w:t>Designed for TSMC mature and advanced nodes (16nm / 28nm target prototyping via MPW shuttle).</w:t>
      </w:r>
    </w:p>
    <w:p>
      <w:pPr>
        <w:keepNext/>
        <w:spacing w:before="320" w:after="120"/>
      </w:pPr>
      <w:r>
        <w:rPr>
          <w:rFonts w:ascii="Calibri" w:hAnsi="Calibri"/>
          <w:b/>
          <w:color w:val="1E293B"/>
          <w:sz w:val="32"/>
        </w:rPr>
        <w:t>3. Theoretical Foundation &amp; Mathematical Modeling</w:t>
      </w:r>
    </w:p>
    <w:p>
      <w:r>
        <w:t>Traditional Von Neumann architectures suffer from the 'memory wall', where data transfer latency between the CPU/GPU and off-chip DRAM severely throttles computational throughput during matrix-heavy neural network inferences. Pheneon resolves this through spatial data reuse and localized accumulation.</w:t>
      </w:r>
    </w:p>
    <w:p>
      <w:pPr>
        <w:keepNext/>
        <w:spacing w:before="240" w:after="80"/>
      </w:pPr>
      <w:r>
        <w:rPr>
          <w:rFonts w:ascii="Calibri" w:hAnsi="Calibri"/>
          <w:b/>
          <w:color w:val="0F766E"/>
          <w:sz w:val="26"/>
        </w:rPr>
        <w:t>A. Systolic Dataflow &amp; Weight Stationary Model</w:t>
      </w:r>
    </w:p>
    <w:p>
      <w:r>
        <w:t>Pheneon implements a Weight-Stationary (WS) dataflow architecture. Weights are loaded once into the local register files of each Processing Element (PE) within the array and remain stationary. Feature map activations stream horizontally across the array, while partial sums accumulate vertically: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144" w:right="144"/>
            </w:pPr>
            <w:r>
              <w:rPr>
                <w:b/>
                <w:color w:val="1E293B"/>
                <w:sz w:val="21"/>
              </w:rPr>
              <w:t xml:space="preserve">Mathematical Formulation: </w:t>
            </w:r>
            <w:r>
              <w:rPr>
                <w:i/>
                <w:color w:val="334155"/>
                <w:sz w:val="21"/>
              </w:rPr>
              <w:t>Y_{i,j} = \sum_{k=1}^{K} A_{i,k} \times B_{k,j} \quad \text{where } A \text{ represents streaming activations and } B \text{ represents stationary weights.}</w:t>
            </w:r>
          </w:p>
        </w:tc>
      </w:tr>
    </w:tbl>
    <w:p>
      <w:pPr>
        <w:spacing w:before="0" w:after="120"/>
      </w:pPr>
    </w:p>
    <w:p>
      <w:r>
        <w:t>This localized propagation ensures that arithmetic logic units (ALUs) fetch operands directly from neighboring PEs or local scratchpads rather than making expensive round-trips to external memory banks, drastically reducing dynamic power dissipation.</w:t>
      </w:r>
    </w:p>
    <w:p>
      <w:pPr>
        <w:keepNext/>
        <w:spacing w:before="240" w:after="80"/>
      </w:pPr>
      <w:r>
        <w:rPr>
          <w:rFonts w:ascii="Calibri" w:hAnsi="Calibri"/>
          <w:b/>
          <w:color w:val="0F766E"/>
          <w:sz w:val="26"/>
        </w:rPr>
        <w:t>B. Quantization Error Bounds &amp; Mapping</w:t>
      </w:r>
    </w:p>
    <w:p>
      <w:r>
        <w:t>The software compilation toolchain incorporates an automated INT8 quantization mapper. By scaling floating-point model weights into uniform integer representations using symmetric quantization factors (S), accuracy degradation is bounded within strict statistical limits: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144" w:right="144"/>
            </w:pPr>
            <w:r>
              <w:rPr>
                <w:b/>
                <w:color w:val="1E293B"/>
                <w:sz w:val="21"/>
              </w:rPr>
              <w:t xml:space="preserve">Quantization Mapping Function: </w:t>
            </w:r>
            <w:r>
              <w:rPr>
                <w:i/>
                <w:color w:val="334155"/>
                <w:sz w:val="21"/>
              </w:rPr>
              <w:t>q = \text{clip}\left( \left\lfloor \frac{x}{S} \rceil + Z, \, -128, \, 127 \right)</w:t>
            </w:r>
          </w:p>
        </w:tc>
      </w:tr>
    </w:tbl>
    <w:p>
      <w:pPr>
        <w:spacing w:before="0" w:after="120"/>
      </w:pPr>
    </w:p>
    <w:p>
      <w:pPr>
        <w:keepNext/>
        <w:spacing w:before="320" w:after="120"/>
      </w:pPr>
      <w:r>
        <w:rPr>
          <w:rFonts w:ascii="Calibri" w:hAnsi="Calibri"/>
          <w:b/>
          <w:color w:val="1E293B"/>
          <w:sz w:val="32"/>
        </w:rPr>
        <w:t>4. Software Compilation &amp; Runtime Pipeline</w:t>
      </w:r>
    </w:p>
    <w:p>
      <w:r>
        <w:t>The Pheneon ecosystem features an end-to-end Python compiler framework that translates high-level PyTorch computational graphs directly into optimized hardware execution schedules:</w:t>
      </w:r>
    </w:p>
    <w:p>
      <w:pPr>
        <w:spacing w:after="80"/>
        <w:ind w:left="360"/>
      </w:pPr>
      <w:r>
        <w:rPr>
          <w:b/>
          <w:color w:val="0F766E"/>
        </w:rPr>
        <w:t xml:space="preserve">1. Graph Ingestion &amp; Parsing — </w:t>
      </w:r>
      <w:r>
        <w:t>Parses PyTorch models (ONNX/TorchScript IR) and builds an optimized Directed Acyclic Graph (DAG) of tensor operations.</w:t>
      </w:r>
    </w:p>
    <w:p>
      <w:pPr>
        <w:spacing w:after="80"/>
        <w:ind w:left="360"/>
      </w:pPr>
      <w:r>
        <w:rPr>
          <w:b/>
          <w:color w:val="0F766E"/>
        </w:rPr>
        <w:t xml:space="preserve">2. Layer Fusion &amp; Optimization — </w:t>
      </w:r>
      <w:r>
        <w:t>Fuses sequential operations (e.g., Convolution + ReLU + Quantization) to minimize intermediate memory writebacks.</w:t>
      </w:r>
    </w:p>
    <w:p>
      <w:pPr>
        <w:spacing w:after="80"/>
        <w:ind w:left="360"/>
      </w:pPr>
      <w:r>
        <w:rPr>
          <w:b/>
          <w:color w:val="0F766E"/>
        </w:rPr>
        <w:t xml:space="preserve">3. Hardware Mapping &amp; Scheduling — </w:t>
      </w:r>
      <w:r>
        <w:t>Allocates tensor tiles to specific physical blocks on the systolic array, optimizing data reuse and scheduling memory pre-fetches.</w:t>
      </w:r>
    </w:p>
    <w:p>
      <w:pPr>
        <w:spacing w:after="80"/>
        <w:ind w:left="360"/>
      </w:pPr>
      <w:r>
        <w:rPr>
          <w:b/>
          <w:color w:val="0F766E"/>
        </w:rPr>
        <w:t xml:space="preserve">4. Bitstream &amp; Runtime Generation — </w:t>
      </w:r>
      <w:r>
        <w:t>Emits hardware-ready instruction bundles and runtime control registers executed seamlessly via the npu_bridge interface.</w:t>
      </w:r>
    </w:p>
    <w:p>
      <w:pPr>
        <w:keepNext/>
        <w:spacing w:before="320" w:after="120"/>
      </w:pPr>
      <w:r>
        <w:rPr>
          <w:rFonts w:ascii="Calibri" w:hAnsi="Calibri"/>
          <w:b/>
          <w:color w:val="1E293B"/>
          <w:sz w:val="32"/>
        </w:rPr>
        <w:t>5. Performance Projections &amp; Benchmarks</w:t>
      </w:r>
    </w:p>
    <w:p>
      <w:r>
        <w:t>Based on cycle-accurate RTL simulations and synthesis models, the Pheneon architecture delivers exceptional efficiency gains compared to standard GPU baselines: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E2E8F0"/>
          <w:insideV w:val="none"/>
        </w:tblBorders>
      </w:tblPr>
      <w:tblGrid>
        <w:gridCol w:w="3120"/>
        <w:gridCol w:w="3120"/>
        <w:gridCol w:w="3120"/>
      </w:tblGrid>
      <w:tr>
        <w:tc>
          <w:tcPr>
            <w:tcW w:type="dxa" w:w="3168"/>
            <w:shd w:fill="1E293B"/>
          </w:tcPr>
          <w:p>
            <w:pPr>
              <w:jc w:val="center"/>
            </w:pPr>
            <w:r>
              <w:rPr>
                <w:b/>
                <w:color w:val="FFFFFF"/>
                <w:sz w:val="20"/>
              </w:rPr>
              <w:t>Metric / Benchmark</w:t>
            </w:r>
          </w:p>
        </w:tc>
        <w:tc>
          <w:tcPr>
            <w:tcW w:type="dxa" w:w="2880"/>
            <w:shd w:fill="1E293B"/>
          </w:tcPr>
          <w:p>
            <w:pPr>
              <w:jc w:val="center"/>
            </w:pPr>
            <w:r>
              <w:rPr>
                <w:b/>
                <w:color w:val="FFFFFF"/>
                <w:sz w:val="20"/>
              </w:rPr>
              <w:t>Standard GPU Baseline</w:t>
            </w:r>
          </w:p>
        </w:tc>
        <w:tc>
          <w:tcPr>
            <w:tcW w:type="dxa" w:w="3312"/>
            <w:shd w:fill="1E293B"/>
          </w:tcPr>
          <w:p>
            <w:pPr>
              <w:jc w:val="center"/>
            </w:pPr>
            <w:r>
              <w:rPr>
                <w:b/>
                <w:color w:val="FFFFFF"/>
                <w:sz w:val="20"/>
              </w:rPr>
              <w:t>Pheneon NPU Architecture</w:t>
            </w:r>
          </w:p>
        </w:tc>
      </w:tr>
      <w:tr>
        <w:tc>
          <w:tcPr>
            <w:tcW w:type="dxa" w:w="3168"/>
            <w:shd w:fill="F8FAFC"/>
          </w:tcPr>
          <w:p>
            <w:pPr>
              <w:jc w:val="left"/>
            </w:pPr>
            <w:r>
              <w:rPr>
                <w:color w:val="334155"/>
                <w:sz w:val="19"/>
              </w:rPr>
              <w:t>Inference Latency (ResNet-50)</w:t>
            </w:r>
          </w:p>
        </w:tc>
        <w:tc>
          <w:tcPr>
            <w:tcW w:type="dxa" w:w="2880"/>
            <w:shd w:fill="F8FAFC"/>
          </w:tcPr>
          <w:p>
            <w:pPr>
              <w:jc w:val="center"/>
            </w:pPr>
            <w:r>
              <w:rPr>
                <w:color w:val="334155"/>
                <w:sz w:val="19"/>
              </w:rPr>
              <w:t>12.4 ms</w:t>
            </w:r>
          </w:p>
        </w:tc>
        <w:tc>
          <w:tcPr>
            <w:tcW w:type="dxa" w:w="3312"/>
            <w:shd w:fill="F8FAFC"/>
          </w:tcPr>
          <w:p>
            <w:pPr>
              <w:jc w:val="center"/>
            </w:pPr>
            <w:r>
              <w:rPr>
                <w:color w:val="334155"/>
                <w:sz w:val="19"/>
              </w:rPr>
              <w:t>3.1 ms (4.0x speedup)</w:t>
            </w:r>
          </w:p>
        </w:tc>
      </w:tr>
      <w:tr>
        <w:tc>
          <w:tcPr>
            <w:tcW w:type="dxa" w:w="3168"/>
          </w:tcPr>
          <w:p>
            <w:pPr>
              <w:jc w:val="left"/>
            </w:pPr>
            <w:r>
              <w:rPr>
                <w:color w:val="334155"/>
                <w:sz w:val="19"/>
              </w:rPr>
              <w:t>Power Efficiency (TOPS/Watt)</w:t>
            </w:r>
          </w:p>
        </w:tc>
        <w:tc>
          <w:tcPr>
            <w:tcW w:type="dxa" w:w="2880"/>
          </w:tcPr>
          <w:p>
            <w:pPr>
              <w:jc w:val="center"/>
            </w:pPr>
            <w:r>
              <w:rPr>
                <w:color w:val="334155"/>
                <w:sz w:val="19"/>
              </w:rPr>
              <w:t>1.8 TOPS/W</w:t>
            </w:r>
          </w:p>
        </w:tc>
        <w:tc>
          <w:tcPr>
            <w:tcW w:type="dxa" w:w="3312"/>
          </w:tcPr>
          <w:p>
            <w:pPr>
              <w:jc w:val="center"/>
            </w:pPr>
            <w:r>
              <w:rPr>
                <w:color w:val="334155"/>
                <w:sz w:val="19"/>
              </w:rPr>
              <w:t>14.2 TOPS/W (7.8x gain)</w:t>
            </w:r>
          </w:p>
        </w:tc>
      </w:tr>
      <w:tr>
        <w:tc>
          <w:tcPr>
            <w:tcW w:type="dxa" w:w="3168"/>
            <w:shd w:fill="F8FAFC"/>
          </w:tcPr>
          <w:p>
            <w:pPr>
              <w:jc w:val="left"/>
            </w:pPr>
            <w:r>
              <w:rPr>
                <w:color w:val="334155"/>
                <w:sz w:val="19"/>
              </w:rPr>
              <w:t>Off-Chip Memory Bandwidth</w:t>
            </w:r>
          </w:p>
        </w:tc>
        <w:tc>
          <w:tcPr>
            <w:tcW w:type="dxa" w:w="2880"/>
            <w:shd w:fill="F8FAFC"/>
          </w:tcPr>
          <w:p>
            <w:pPr>
              <w:jc w:val="center"/>
            </w:pPr>
            <w:r>
              <w:rPr>
                <w:color w:val="334155"/>
                <w:sz w:val="19"/>
              </w:rPr>
              <w:t>High (DRAM Bound)</w:t>
            </w:r>
          </w:p>
        </w:tc>
        <w:tc>
          <w:tcPr>
            <w:tcW w:type="dxa" w:w="3312"/>
            <w:shd w:fill="F8FAFC"/>
          </w:tcPr>
          <w:p>
            <w:pPr>
              <w:jc w:val="center"/>
            </w:pPr>
            <w:r>
              <w:rPr>
                <w:color w:val="334155"/>
                <w:sz w:val="19"/>
              </w:rPr>
              <w:t>Minimized (SRAM Scratchpad)</w:t>
            </w:r>
          </w:p>
        </w:tc>
      </w:tr>
    </w:tbl>
    <w:p>
      <w:pPr>
        <w:spacing w:before="120"/>
      </w:pPr>
    </w:p>
    <w:p>
      <w:pPr>
        <w:keepNext/>
        <w:spacing w:before="320" w:after="120"/>
      </w:pPr>
      <w:r>
        <w:rPr>
          <w:rFonts w:ascii="Calibri" w:hAnsi="Calibri"/>
          <w:b/>
          <w:color w:val="1E293B"/>
          <w:sz w:val="32"/>
        </w:rPr>
        <w:t>6. Conclusion &amp; Deployment Roadmap</w:t>
      </w:r>
    </w:p>
    <w:p>
      <w:r>
        <w:t>Pheneon bridges the critical gap between high-level machine learning frameworks and physical hardware execution. By protecting core RTL intellectual property while providing robust architectural specifications, Pheneon is positioned to scale efficiently through strategic IP licensing, MPW shuttle prototyping, and deep-tech commercialization.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