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 w:rsidR="00F7067C" w:rsidRDefault="00AE65CC" w:rsidP="00C90CEC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{0}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 w:rsidR="00F7067C" w:rsidRPr="00DF2C47" w:rsidRDefault="00DF2C47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Дисциплина "</w:t>
      </w:r>
      <w:r w:rsidR="001F325A" w:rsidRPr="001F325A">
        <w:rPr>
          <w:rFonts w:ascii="Times New Roman" w:hAnsi="Times New Roman" w:cs="Times New Roman"/>
          <w:sz w:val="28"/>
        </w:rPr>
        <w:t>{</w:t>
      </w:r>
      <w:r w:rsidR="001F325A" w:rsidRPr="001640E1">
        <w:rPr>
          <w:rFonts w:ascii="Times New Roman" w:hAnsi="Times New Roman" w:cs="Times New Roman"/>
          <w:sz w:val="28"/>
        </w:rPr>
        <w:t>0</w:t>
      </w:r>
      <w:r w:rsidR="001F325A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" имеет своей целью способствовать формированию у обучающихся </w:t>
      </w:r>
      <w:r w:rsidR="001640E1" w:rsidRPr="001640E1">
        <w:rPr>
          <w:rFonts w:ascii="Times New Roman" w:hAnsi="Times New Roman" w:cs="Times New Roman"/>
          <w:sz w:val="28"/>
        </w:rPr>
        <w:t>{</w:t>
      </w:r>
      <w:r w:rsidR="001640E1" w:rsidRPr="005D25D0">
        <w:rPr>
          <w:rFonts w:ascii="Times New Roman" w:hAnsi="Times New Roman" w:cs="Times New Roman"/>
          <w:sz w:val="28"/>
        </w:rPr>
        <w:t>1</w:t>
      </w:r>
      <w:r w:rsidR="001640E1" w:rsidRPr="001640E1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 с учетом специфики профиля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-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"</w:t>
      </w:r>
      <w:r w:rsidR="00306579" w:rsidRPr="00306579">
        <w:rPr>
          <w:rFonts w:ascii="Times New Roman" w:hAnsi="Times New Roman" w:cs="Times New Roman"/>
          <w:sz w:val="28"/>
        </w:rPr>
        <w:t xml:space="preserve">Лазерные 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 xml:space="preserve">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Дисциплина "</w:t>
      </w:r>
      <w:r w:rsidR="009C7C3F" w:rsidRPr="001F325A">
        <w:rPr>
          <w:rFonts w:ascii="Times New Roman" w:hAnsi="Times New Roman" w:cs="Times New Roman"/>
          <w:sz w:val="28"/>
        </w:rPr>
        <w:t>{</w:t>
      </w:r>
      <w:r w:rsidR="009C7C3F" w:rsidRPr="001640E1">
        <w:rPr>
          <w:rFonts w:ascii="Times New Roman" w:hAnsi="Times New Roman" w:cs="Times New Roman"/>
          <w:sz w:val="28"/>
        </w:rPr>
        <w:t>0</w:t>
      </w:r>
      <w:r w:rsidR="009C7C3F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" является </w:t>
      </w:r>
      <w:r w:rsidR="00002AF3">
        <w:rPr>
          <w:rFonts w:ascii="Times New Roman" w:hAnsi="Times New Roman" w:cs="Times New Roman"/>
          <w:sz w:val="28"/>
        </w:rPr>
        <w:t>{17}</w:t>
      </w:r>
      <w:r w:rsidR="00002AF3" w:rsidRPr="00A60C62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Pr="00A60C62">
        <w:rPr>
          <w:rFonts w:ascii="Times New Roman" w:hAnsi="Times New Roman" w:cs="Times New Roman"/>
          <w:sz w:val="28"/>
        </w:rPr>
        <w:t>Блока 1 (Дисциплины) учебного плана направления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>" профиля подготовки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 xml:space="preserve">". Общая трудоемкость дисциплины составляет </w:t>
      </w:r>
      <w:r w:rsidR="00FB0496">
        <w:rPr>
          <w:rFonts w:ascii="Times New Roman" w:hAnsi="Times New Roman" w:cs="Times New Roman"/>
          <w:sz w:val="28"/>
        </w:rPr>
        <w:t xml:space="preserve">{2} зачетные единицы ({3} </w:t>
      </w:r>
      <w:r w:rsidRPr="00A60C62">
        <w:rPr>
          <w:rFonts w:ascii="Times New Roman" w:hAnsi="Times New Roman" w:cs="Times New Roman"/>
          <w:sz w:val="28"/>
        </w:rPr>
        <w:t xml:space="preserve">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6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6"/>
              </w:rPr>
              <w:br/>
            </w:r>
            <w:r w:rsidRPr="00A60C62">
              <w:rPr>
                <w:rFonts w:ascii="Times New Roman" w:hAnsi="Times New Roman" w:cs="Times New Roman"/>
                <w:sz w:val="16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6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6.1. Перечень компетенций, на освоение которых направлено изучение дисциплины "</w:t>
      </w:r>
      <w:r w:rsidR="002C41EE" w:rsidRPr="0091626E">
        <w:rPr>
          <w:rFonts w:ascii="Times New Roman" w:hAnsi="Times New Roman" w:cs="Times New Roman"/>
          <w:sz w:val="28"/>
        </w:rPr>
        <w:t>{0}</w:t>
      </w:r>
      <w:r w:rsidRPr="00A60C62">
        <w:rPr>
          <w:rFonts w:ascii="Times New Roman" w:hAnsi="Times New Roman" w:cs="Times New Roman"/>
          <w:sz w:val="28"/>
        </w:rPr>
        <w:t>"</w:t>
      </w:r>
      <w:r w:rsidR="004B25C8">
        <w:rPr>
          <w:rFonts w:ascii="Times New Roman" w:hAnsi="Times New Roman" w:cs="Times New Roman"/>
          <w:sz w:val="28"/>
        </w:rPr>
        <w:t xml:space="preserve">, </w:t>
      </w:r>
      <w:r w:rsidRPr="00A60C62">
        <w:rPr>
          <w:rFonts w:ascii="Times New Roman" w:hAnsi="Times New Roman" w:cs="Times New Roman"/>
          <w:sz w:val="28"/>
        </w:rPr>
        <w:t>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Типовые вопросы и задания для текущего контроля (оценка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(знаний, умений) </w:t>
      </w:r>
      <w:r w:rsidR="00462D75" w:rsidRPr="00036EC1">
        <w:rPr>
          <w:rFonts w:ascii="Times New Roman" w:hAnsi="Times New Roman" w:cs="Times New Roman"/>
          <w:sz w:val="28"/>
        </w:rPr>
        <w:t>{1}</w:t>
      </w:r>
      <w:r w:rsidRPr="00A60C62">
        <w:rPr>
          <w:rFonts w:ascii="Times New Roman" w:hAnsi="Times New Roman" w:cs="Times New Roman"/>
          <w:sz w:val="28"/>
        </w:rPr>
        <w:t xml:space="preserve"> в рамках текущего контроля по дисциплине):</w:t>
      </w:r>
    </w:p>
    <w:p w:rsidR="00960782" w:rsidRPr="00A332C4" w:rsidRDefault="00E366AB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332C4">
        <w:rPr>
          <w:rFonts w:ascii="Times New Roman" w:hAnsi="Times New Roman" w:cs="Times New Roman"/>
          <w:sz w:val="28"/>
        </w:rPr>
        <w:t>{4}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Защита лабораторных работ (оценка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(знаний, умений) </w:t>
      </w:r>
      <w:r w:rsidR="00036EC1" w:rsidRPr="00036EC1">
        <w:rPr>
          <w:rFonts w:ascii="Times New Roman" w:hAnsi="Times New Roman" w:cs="Times New Roman"/>
          <w:sz w:val="28"/>
        </w:rPr>
        <w:t>{</w:t>
      </w:r>
      <w:r w:rsidR="00036EC1" w:rsidRPr="00422053">
        <w:rPr>
          <w:rFonts w:ascii="Times New Roman" w:hAnsi="Times New Roman" w:cs="Times New Roman"/>
          <w:sz w:val="28"/>
        </w:rPr>
        <w:t>1</w:t>
      </w:r>
      <w:r w:rsidR="00036EC1" w:rsidRPr="00036EC1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>) в рамках текущего контроля по дисциплине):</w:t>
      </w:r>
    </w:p>
    <w:p w:rsidR="00960782" w:rsidRPr="00A332C4" w:rsidRDefault="00402B5D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332C4">
        <w:rPr>
          <w:rFonts w:ascii="Times New Roman" w:hAnsi="Times New Roman" w:cs="Times New Roman"/>
          <w:sz w:val="28"/>
        </w:rPr>
        <w:t>{</w:t>
      </w:r>
      <w:r w:rsidR="005E0C69" w:rsidRPr="00A332C4">
        <w:rPr>
          <w:rFonts w:ascii="Times New Roman" w:hAnsi="Times New Roman" w:cs="Times New Roman"/>
          <w:sz w:val="28"/>
        </w:rPr>
        <w:t>5</w:t>
      </w:r>
      <w:r w:rsidRPr="00A332C4">
        <w:rPr>
          <w:rFonts w:ascii="Times New Roman" w:hAnsi="Times New Roman" w:cs="Times New Roman"/>
          <w:sz w:val="28"/>
        </w:rPr>
        <w:t>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Перечень вопросов для подготовки к экзамену (оценка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</w:t>
      </w:r>
      <w:r w:rsidR="00422053" w:rsidRPr="00422053">
        <w:rPr>
          <w:rFonts w:ascii="Times New Roman" w:hAnsi="Times New Roman" w:cs="Times New Roman"/>
          <w:sz w:val="28"/>
        </w:rPr>
        <w:t>{</w:t>
      </w:r>
      <w:r w:rsidR="00422053" w:rsidRPr="00A568B7">
        <w:rPr>
          <w:rFonts w:ascii="Times New Roman" w:hAnsi="Times New Roman" w:cs="Times New Roman"/>
          <w:sz w:val="28"/>
        </w:rPr>
        <w:t>1</w:t>
      </w:r>
      <w:r w:rsidR="00422053" w:rsidRPr="00422053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 в рамках промежуточного контроля по </w:t>
      </w:r>
      <w:r w:rsidRPr="00A60C62">
        <w:rPr>
          <w:rFonts w:ascii="Times New Roman" w:hAnsi="Times New Roman" w:cs="Times New Roman"/>
          <w:sz w:val="28"/>
        </w:rPr>
        <w:lastRenderedPageBreak/>
        <w:t>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Процедуры и средства оценивания элементов компетенций по дисциплине "</w:t>
      </w:r>
      <w:r w:rsidR="009C7C3F" w:rsidRPr="001F325A">
        <w:rPr>
          <w:rFonts w:ascii="Times New Roman" w:hAnsi="Times New Roman" w:cs="Times New Roman"/>
          <w:sz w:val="28"/>
        </w:rPr>
        <w:t>{</w:t>
      </w:r>
      <w:r w:rsidR="009C7C3F" w:rsidRPr="001640E1">
        <w:rPr>
          <w:rFonts w:ascii="Times New Roman" w:hAnsi="Times New Roman" w:cs="Times New Roman"/>
          <w:sz w:val="28"/>
        </w:rPr>
        <w:t>0</w:t>
      </w:r>
      <w:r w:rsidR="009C7C3F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 с оценкой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Курсовая работа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 w:rsidR="00C0287D" w:rsidRPr="001031FD" w:rsidRDefault="006C75C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 соотв</w:t>
            </w:r>
            <w:r w:rsidR="00C90CEC">
              <w:rPr>
                <w:rFonts w:ascii="Times New Roman" w:hAnsi="Times New Roman" w:cs="Times New Roman"/>
                <w:sz w:val="16"/>
              </w:rPr>
              <w:t>.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 w:rsidR="00C0287D" w:rsidRPr="001031FD" w:rsidRDefault="00A62CD7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 w:rsidR="00C0287D" w:rsidRPr="001031FD" w:rsidRDefault="00024A66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 w:rsidR="00C0287D" w:rsidRPr="001031FD" w:rsidRDefault="00F0134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 xml:space="preserve">Ответы в устной форме, </w:t>
            </w:r>
            <w:r w:rsidR="00553B43">
              <w:rPr>
                <w:rFonts w:ascii="Times New Roman" w:hAnsi="Times New Roman" w:cs="Times New Roman"/>
                <w:sz w:val="16"/>
              </w:rPr>
              <w:t>текст курсовой работы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A54DCA" w:rsidRDefault="004A1898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Дисциплина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>" предусматрива</w:t>
      </w:r>
      <w:r w:rsidR="00146EE7">
        <w:rPr>
          <w:rFonts w:ascii="Times New Roman" w:hAnsi="Times New Roman" w:cs="Times New Roman"/>
          <w:sz w:val="28"/>
        </w:rPr>
        <w:t>ет</w:t>
      </w:r>
      <w:r w:rsidR="00AA7BE6" w:rsidRPr="007342E3">
        <w:rPr>
          <w:rFonts w:ascii="Times New Roman" w:hAnsi="Times New Roman" w:cs="Times New Roman"/>
          <w:sz w:val="28"/>
        </w:rPr>
        <w:t xml:space="preserve"> {10}</w:t>
      </w:r>
      <w:r w:rsidRPr="00A60C62">
        <w:rPr>
          <w:rFonts w:ascii="Times New Roman" w:hAnsi="Times New Roman" w:cs="Times New Roman"/>
          <w:sz w:val="28"/>
        </w:rPr>
        <w:t>. Успешное изучение дисци</w:t>
      </w:r>
      <w:r w:rsidR="009D0228">
        <w:rPr>
          <w:rFonts w:ascii="Times New Roman" w:hAnsi="Times New Roman" w:cs="Times New Roman"/>
          <w:sz w:val="28"/>
        </w:rPr>
        <w:t xml:space="preserve">плины требует посещения занятий, </w:t>
      </w:r>
      <w:r w:rsidR="00EE7500">
        <w:rPr>
          <w:rFonts w:ascii="Times New Roman" w:hAnsi="Times New Roman" w:cs="Times New Roman"/>
          <w:sz w:val="28"/>
        </w:rPr>
        <w:t xml:space="preserve">выполнение </w:t>
      </w:r>
      <w:r w:rsidR="009D0228">
        <w:rPr>
          <w:rFonts w:ascii="Times New Roman" w:hAnsi="Times New Roman" w:cs="Times New Roman"/>
          <w:sz w:val="28"/>
        </w:rPr>
        <w:t>с</w:t>
      </w:r>
      <w:r w:rsidRPr="00A60C62">
        <w:rPr>
          <w:rFonts w:ascii="Times New Roman" w:hAnsi="Times New Roman" w:cs="Times New Roman"/>
          <w:sz w:val="28"/>
        </w:rPr>
        <w:t>амостоятельн</w:t>
      </w:r>
      <w:r w:rsidR="00F4766C">
        <w:rPr>
          <w:rFonts w:ascii="Times New Roman" w:hAnsi="Times New Roman" w:cs="Times New Roman"/>
          <w:sz w:val="28"/>
        </w:rPr>
        <w:t>ой</w:t>
      </w:r>
      <w:r w:rsidRPr="00A60C62">
        <w:rPr>
          <w:rFonts w:ascii="Times New Roman" w:hAnsi="Times New Roman" w:cs="Times New Roman"/>
          <w:sz w:val="28"/>
        </w:rPr>
        <w:t xml:space="preserve"> работ</w:t>
      </w:r>
      <w:r w:rsidR="00B863B1">
        <w:rPr>
          <w:rFonts w:ascii="Times New Roman" w:hAnsi="Times New Roman" w:cs="Times New Roman"/>
          <w:sz w:val="28"/>
        </w:rPr>
        <w:t>ы</w:t>
      </w:r>
      <w:r w:rsidR="00FB5438">
        <w:rPr>
          <w:rFonts w:ascii="Times New Roman" w:hAnsi="Times New Roman" w:cs="Times New Roman"/>
          <w:sz w:val="28"/>
        </w:rPr>
        <w:t xml:space="preserve"> и</w:t>
      </w:r>
      <w:r w:rsidRPr="00A60C62">
        <w:rPr>
          <w:rFonts w:ascii="Times New Roman" w:hAnsi="Times New Roman" w:cs="Times New Roman"/>
          <w:sz w:val="28"/>
        </w:rPr>
        <w:t xml:space="preserve"> ознакомлени</w:t>
      </w:r>
      <w:r w:rsidR="00BB4C29">
        <w:rPr>
          <w:rFonts w:ascii="Times New Roman" w:hAnsi="Times New Roman" w:cs="Times New Roman"/>
          <w:sz w:val="28"/>
        </w:rPr>
        <w:t>я</w:t>
      </w:r>
      <w:r w:rsidRPr="00A60C62">
        <w:rPr>
          <w:rFonts w:ascii="Times New Roman" w:hAnsi="Times New Roman" w:cs="Times New Roman"/>
          <w:sz w:val="28"/>
        </w:rPr>
        <w:t xml:space="preserve">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proofErr w:type="gramStart"/>
      <w:r w:rsidRPr="00D7762D">
        <w:rPr>
          <w:rFonts w:ascii="Times New Roman" w:hAnsi="Times New Roman" w:cs="Times New Roman"/>
          <w:sz w:val="28"/>
        </w:rPr>
        <w:t>11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В</w:t>
      </w:r>
      <w:proofErr w:type="gramEnd"/>
      <w:r w:rsidR="00960782" w:rsidRPr="00A60C62">
        <w:rPr>
          <w:rFonts w:ascii="Times New Roman" w:hAnsi="Times New Roman" w:cs="Times New Roman"/>
          <w:sz w:val="28"/>
        </w:rPr>
        <w:t xml:space="preserve">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proofErr w:type="gramStart"/>
      <w:r w:rsidRPr="00D7762D">
        <w:rPr>
          <w:rFonts w:ascii="Times New Roman" w:hAnsi="Times New Roman" w:cs="Times New Roman"/>
          <w:sz w:val="28"/>
        </w:rPr>
        <w:t>11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При</w:t>
      </w:r>
      <w:proofErr w:type="gramEnd"/>
      <w:r w:rsidR="00960782" w:rsidRPr="00A60C62">
        <w:rPr>
          <w:rFonts w:ascii="Times New Roman" w:hAnsi="Times New Roman" w:cs="Times New Roman"/>
          <w:sz w:val="28"/>
        </w:rPr>
        <w:t xml:space="preserve">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proofErr w:type="gramStart"/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Практические</w:t>
      </w:r>
      <w:proofErr w:type="gramEnd"/>
      <w:r w:rsidR="00960782" w:rsidRPr="00A60C62">
        <w:rPr>
          <w:rFonts w:ascii="Times New Roman" w:hAnsi="Times New Roman" w:cs="Times New Roman"/>
          <w:sz w:val="28"/>
        </w:rPr>
        <w:t xml:space="preserve">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</w:t>
      </w:r>
      <w:r w:rsidR="00960782" w:rsidRPr="00A60C62">
        <w:rPr>
          <w:rFonts w:ascii="Times New Roman" w:hAnsi="Times New Roman" w:cs="Times New Roman"/>
          <w:sz w:val="28"/>
        </w:rPr>
        <w:lastRenderedPageBreak/>
        <w:t>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proofErr w:type="gramStart"/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При</w:t>
      </w:r>
      <w:proofErr w:type="gramEnd"/>
      <w:r w:rsidR="00960782" w:rsidRPr="00A60C62">
        <w:rPr>
          <w:rFonts w:ascii="Times New Roman" w:hAnsi="Times New Roman" w:cs="Times New Roman"/>
          <w:sz w:val="28"/>
        </w:rPr>
        <w:t xml:space="preserve">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proofErr w:type="gramStart"/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При</w:t>
      </w:r>
      <w:proofErr w:type="gramEnd"/>
      <w:r w:rsidR="00960782" w:rsidRPr="00A60C62">
        <w:rPr>
          <w:rFonts w:ascii="Times New Roman" w:hAnsi="Times New Roman" w:cs="Times New Roman"/>
          <w:sz w:val="28"/>
        </w:rPr>
        <w:t xml:space="preserve">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proofErr w:type="gramStart"/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Студентам</w:t>
      </w:r>
      <w:proofErr w:type="gramEnd"/>
      <w:r w:rsidR="00960782" w:rsidRPr="00A60C62">
        <w:rPr>
          <w:rFonts w:ascii="Times New Roman" w:hAnsi="Times New Roman" w:cs="Times New Roman"/>
          <w:sz w:val="28"/>
        </w:rPr>
        <w:t xml:space="preserve">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</w:t>
      </w:r>
      <w:proofErr w:type="spellStart"/>
      <w:r w:rsidR="00960782" w:rsidRPr="00A60C62">
        <w:rPr>
          <w:rFonts w:ascii="Times New Roman" w:hAnsi="Times New Roman" w:cs="Times New Roman"/>
          <w:sz w:val="28"/>
        </w:rPr>
        <w:t>изучавшейся</w:t>
      </w:r>
      <w:proofErr w:type="spellEnd"/>
      <w:r w:rsidR="00960782" w:rsidRPr="00A60C62">
        <w:rPr>
          <w:rFonts w:ascii="Times New Roman" w:hAnsi="Times New Roman" w:cs="Times New Roman"/>
          <w:sz w:val="28"/>
        </w:rPr>
        <w:t xml:space="preserve">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proofErr w:type="gramStart"/>
      <w:r w:rsidRPr="00D7762D">
        <w:rPr>
          <w:rFonts w:ascii="Times New Roman" w:hAnsi="Times New Roman" w:cs="Times New Roman"/>
          <w:sz w:val="28"/>
        </w:rPr>
        <w:t>1</w:t>
      </w:r>
      <w:r w:rsidRPr="00467D9F">
        <w:rPr>
          <w:rFonts w:ascii="Times New Roman" w:hAnsi="Times New Roman" w:cs="Times New Roman"/>
          <w:sz w:val="28"/>
        </w:rPr>
        <w:t>3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Методические</w:t>
      </w:r>
      <w:proofErr w:type="gramEnd"/>
      <w:r w:rsidR="00960782" w:rsidRPr="00A60C62">
        <w:rPr>
          <w:rFonts w:ascii="Times New Roman" w:hAnsi="Times New Roman" w:cs="Times New Roman"/>
          <w:sz w:val="28"/>
        </w:rPr>
        <w:t xml:space="preserve"> указания по выполнению лабораторных работ приведены в составе программы </w:t>
      </w:r>
      <w:proofErr w:type="spellStart"/>
      <w:r w:rsidR="00960782" w:rsidRPr="00A60C62">
        <w:rPr>
          <w:rFonts w:ascii="Times New Roman" w:hAnsi="Times New Roman" w:cs="Times New Roman"/>
          <w:sz w:val="28"/>
        </w:rPr>
        <w:t>бакалавриата</w:t>
      </w:r>
      <w:proofErr w:type="spellEnd"/>
      <w:r w:rsidR="00960782" w:rsidRPr="00A60C62">
        <w:rPr>
          <w:rFonts w:ascii="Times New Roman" w:hAnsi="Times New Roman" w:cs="Times New Roman"/>
          <w:sz w:val="28"/>
        </w:rPr>
        <w:t>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 w:rsidR="00960782" w:rsidRPr="00675F06" w:rsidRDefault="00A332C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675F06">
        <w:rPr>
          <w:rFonts w:ascii="Times New Roman" w:hAnsi="Times New Roman" w:cs="Times New Roman"/>
          <w:sz w:val="28"/>
        </w:rPr>
        <w:t>{8}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C0D71" w:rsidRDefault="0025678B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C0D71">
        <w:rPr>
          <w:rFonts w:ascii="Times New Roman" w:hAnsi="Times New Roman" w:cs="Times New Roman"/>
          <w:sz w:val="28"/>
        </w:rPr>
        <w:t>{9}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Б</w:t>
      </w:r>
      <w:proofErr w:type="gramStart"/>
      <w:r w:rsidRPr="00A60C62">
        <w:rPr>
          <w:rFonts w:ascii="Times New Roman" w:hAnsi="Times New Roman" w:cs="Times New Roman"/>
          <w:b/>
          <w:sz w:val="28"/>
          <w:szCs w:val="28"/>
        </w:rPr>
        <w:t>1.В.ДВ</w:t>
      </w:r>
      <w:proofErr w:type="gramEnd"/>
      <w:r w:rsidRPr="00A60C62">
        <w:rPr>
          <w:rFonts w:ascii="Times New Roman" w:hAnsi="Times New Roman" w:cs="Times New Roman"/>
          <w:b/>
          <w:sz w:val="28"/>
          <w:szCs w:val="28"/>
        </w:rPr>
        <w:t>.7.2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="003274A4">
        <w:rPr>
          <w:rFonts w:ascii="Times New Roman" w:hAnsi="Times New Roman" w:cs="Times New Roman"/>
          <w:sz w:val="28"/>
          <w:lang w:val="en-US"/>
        </w:rPr>
        <w:t>b</w:t>
      </w:r>
      <w:r w:rsidRPr="00A60C62">
        <w:rPr>
          <w:rFonts w:ascii="Times New Roman" w:hAnsi="Times New Roman" w:cs="Times New Roman"/>
          <w:b/>
          <w:sz w:val="28"/>
          <w:szCs w:val="28"/>
        </w:rPr>
        <w:t>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Б</w:t>
      </w:r>
      <w:proofErr w:type="gramStart"/>
      <w:r w:rsidRPr="00A60C62">
        <w:rPr>
          <w:rFonts w:ascii="Times New Roman" w:hAnsi="Times New Roman" w:cs="Times New Roman"/>
          <w:b/>
          <w:sz w:val="28"/>
          <w:szCs w:val="28"/>
        </w:rPr>
        <w:t>1.В.ДВ</w:t>
      </w:r>
      <w:proofErr w:type="gramEnd"/>
      <w:r w:rsidRPr="00A60C62">
        <w:rPr>
          <w:rFonts w:ascii="Times New Roman" w:hAnsi="Times New Roman" w:cs="Times New Roman"/>
          <w:b/>
          <w:sz w:val="28"/>
          <w:szCs w:val="28"/>
        </w:rPr>
        <w:t>.7.2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="001A2B39">
        <w:rPr>
          <w:rFonts w:ascii="Times New Roman" w:hAnsi="Times New Roman" w:cs="Times New Roman"/>
          <w:sz w:val="28"/>
          <w:lang w:val="en-US"/>
        </w:rPr>
        <w:t>b</w:t>
      </w:r>
      <w:r w:rsidRPr="00A60C62">
        <w:rPr>
          <w:rFonts w:ascii="Times New Roman" w:hAnsi="Times New Roman" w:cs="Times New Roman"/>
          <w:b/>
          <w:sz w:val="28"/>
          <w:szCs w:val="28"/>
        </w:rPr>
        <w:t xml:space="preserve">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к рабочей программе дисциплины "</w:t>
      </w:r>
      <w:r w:rsidR="0046506C" w:rsidRPr="001F325A">
        <w:rPr>
          <w:rFonts w:ascii="Times New Roman" w:hAnsi="Times New Roman" w:cs="Times New Roman"/>
          <w:sz w:val="28"/>
        </w:rPr>
        <w:t>{</w:t>
      </w:r>
      <w:proofErr w:type="gramStart"/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="005C63E5">
        <w:rPr>
          <w:rFonts w:ascii="Times New Roman" w:hAnsi="Times New Roman" w:cs="Times New Roman"/>
          <w:sz w:val="28"/>
          <w:lang w:val="en-US"/>
        </w:rPr>
        <w:t>b</w:t>
      </w:r>
      <w:proofErr w:type="gramEnd"/>
      <w:r w:rsidRPr="00A60C62">
        <w:rPr>
          <w:rFonts w:ascii="Times New Roman" w:hAnsi="Times New Roman" w:cs="Times New Roman"/>
          <w:b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Дисциплина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" имеет своей целью способствовать формированию у обучающихся </w:t>
      </w:r>
      <w:r w:rsidR="00A568B7" w:rsidRPr="00A568B7">
        <w:rPr>
          <w:rFonts w:ascii="Times New Roman" w:hAnsi="Times New Roman" w:cs="Times New Roman"/>
          <w:sz w:val="28"/>
        </w:rPr>
        <w:t>{</w:t>
      </w:r>
      <w:r w:rsidR="00A568B7" w:rsidRPr="00F37980">
        <w:rPr>
          <w:rFonts w:ascii="Times New Roman" w:hAnsi="Times New Roman" w:cs="Times New Roman"/>
          <w:sz w:val="28"/>
        </w:rPr>
        <w:t>1</w:t>
      </w:r>
      <w:r w:rsidR="00A568B7" w:rsidRPr="00A568B7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 с учетом специфики профиля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-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 xml:space="preserve">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960782" w:rsidRPr="00E9434F" w:rsidRDefault="00C23410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E9434F">
        <w:rPr>
          <w:rFonts w:ascii="Times New Roman" w:hAnsi="Times New Roman" w:cs="Times New Roman"/>
          <w:sz w:val="28"/>
        </w:rPr>
        <w:t>{14}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E9434F">
        <w:rPr>
          <w:rFonts w:ascii="Times New Roman" w:hAnsi="Times New Roman" w:cs="Times New Roman"/>
          <w:sz w:val="28"/>
        </w:rPr>
        <w:t>{1</w:t>
      </w:r>
      <w:r w:rsidR="005F4025" w:rsidRPr="00E9434F">
        <w:rPr>
          <w:rFonts w:ascii="Times New Roman" w:hAnsi="Times New Roman" w:cs="Times New Roman"/>
          <w:sz w:val="28"/>
        </w:rPr>
        <w:t>5</w:t>
      </w:r>
      <w:r w:rsidRPr="00E9434F">
        <w:rPr>
          <w:rFonts w:ascii="Times New Roman" w:hAnsi="Times New Roman" w:cs="Times New Roman"/>
          <w:sz w:val="28"/>
        </w:rPr>
        <w:t>}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A909AE" w:rsidP="00A909AE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E9434F">
        <w:rPr>
          <w:rFonts w:ascii="Times New Roman" w:hAnsi="Times New Roman" w:cs="Times New Roman"/>
          <w:sz w:val="28"/>
        </w:rPr>
        <w:t>{1</w:t>
      </w:r>
      <w:r w:rsidR="00DD485F" w:rsidRPr="00E9434F">
        <w:rPr>
          <w:rFonts w:ascii="Times New Roman" w:hAnsi="Times New Roman" w:cs="Times New Roman"/>
          <w:sz w:val="28"/>
        </w:rPr>
        <w:t>6</w:t>
      </w:r>
      <w:r w:rsidRPr="00E9434F">
        <w:rPr>
          <w:rFonts w:ascii="Times New Roman" w:hAnsi="Times New Roman" w:cs="Times New Roman"/>
          <w:sz w:val="28"/>
        </w:rPr>
        <w:t>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Дисциплина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" является </w:t>
      </w:r>
      <w:r w:rsidR="00BA093C">
        <w:rPr>
          <w:rFonts w:ascii="Times New Roman" w:hAnsi="Times New Roman" w:cs="Times New Roman"/>
          <w:sz w:val="28"/>
        </w:rPr>
        <w:t>{17}</w:t>
      </w:r>
      <w:r w:rsidRPr="00A60C62">
        <w:rPr>
          <w:rFonts w:ascii="Times New Roman" w:hAnsi="Times New Roman" w:cs="Times New Roman"/>
          <w:sz w:val="28"/>
        </w:rPr>
        <w:t xml:space="preserve"> Блока 1 (Дисциплины) учебного плана направления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>" профиля подготовки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 xml:space="preserve">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3. Общая трудоемкость дисциплины составляет </w:t>
      </w:r>
      <w:r w:rsidR="00FB0496">
        <w:rPr>
          <w:rFonts w:ascii="Times New Roman" w:hAnsi="Times New Roman" w:cs="Times New Roman"/>
          <w:sz w:val="28"/>
        </w:rPr>
        <w:t xml:space="preserve">{2} зачетные единицы ({3} </w:t>
      </w:r>
      <w:r w:rsidRPr="00A60C62">
        <w:rPr>
          <w:rFonts w:ascii="Times New Roman" w:hAnsi="Times New Roman" w:cs="Times New Roman"/>
          <w:sz w:val="28"/>
        </w:rPr>
        <w:t xml:space="preserve">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"</w:t>
      </w:r>
      <w:r w:rsidR="0046506C" w:rsidRPr="001F325A">
        <w:rPr>
          <w:rFonts w:ascii="Times New Roman" w:hAnsi="Times New Roman" w:cs="Times New Roman"/>
          <w:sz w:val="28"/>
        </w:rPr>
        <w:t>{</w:t>
      </w:r>
      <w:proofErr w:type="gramStart"/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="002567E9">
        <w:rPr>
          <w:rFonts w:ascii="Times New Roman" w:hAnsi="Times New Roman" w:cs="Times New Roman"/>
          <w:sz w:val="28"/>
          <w:lang w:val="en-US"/>
        </w:rPr>
        <w:t>b</w:t>
      </w:r>
      <w:proofErr w:type="gramEnd"/>
      <w:r w:rsidRPr="00A60C62">
        <w:rPr>
          <w:rFonts w:ascii="Times New Roman" w:hAnsi="Times New Roman" w:cs="Times New Roman"/>
          <w:b/>
          <w:sz w:val="28"/>
          <w:szCs w:val="28"/>
        </w:rPr>
        <w:t>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Второй целью </w:t>
      </w:r>
      <w:proofErr w:type="gramStart"/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 является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проверка</w:t>
      </w:r>
      <w:r w:rsidR="00750D37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 </w:t>
      </w:r>
      <w:proofErr w:type="spellStart"/>
      <w:r w:rsidR="00750D37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="00750D37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 </w:t>
      </w:r>
      <w:r w:rsidRPr="00A60C62">
        <w:rPr>
          <w:b/>
          <w:sz w:val="28"/>
          <w:szCs w:val="28"/>
        </w:rPr>
        <w:t xml:space="preserve"> </w:t>
      </w:r>
      <w:r w:rsidR="00162588" w:rsidRPr="00BD1A3B">
        <w:rPr>
          <w:b/>
          <w:sz w:val="28"/>
          <w:szCs w:val="28"/>
        </w:rPr>
        <w:t>{</w:t>
      </w:r>
      <w:r w:rsidR="00AE2678">
        <w:rPr>
          <w:b/>
          <w:sz w:val="28"/>
          <w:szCs w:val="28"/>
        </w:rPr>
        <w:t>1</w:t>
      </w:r>
      <w:r w:rsidR="00162588" w:rsidRPr="00BD1A3B">
        <w:rPr>
          <w:b/>
          <w:sz w:val="28"/>
          <w:szCs w:val="28"/>
        </w:rPr>
        <w:t>}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 w:rsidR="00960782" w:rsidRPr="0025678B" w:rsidRDefault="00EC52F7" w:rsidP="00960782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25678B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{6}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9E4209" w:rsidRDefault="009E4209" w:rsidP="00960782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{7}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