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AE54BF" w:rsidRPr="00AE54BF" w:rsidTr="009018EA">
        <w:trPr>
          <w:cantSplit/>
          <w:trHeight w:val="180"/>
        </w:trPr>
        <w:tc>
          <w:tcPr>
            <w:tcW w:w="5000" w:type="pct"/>
          </w:tcPr>
          <w:p w:rsidR="00AE54BF" w:rsidRPr="00AE54BF" w:rsidRDefault="00AE54BF" w:rsidP="00AE54BF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AE54BF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4CD8AA3" wp14:editId="5C4C3EDE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4BF" w:rsidRPr="00AE54BF" w:rsidTr="009018EA">
        <w:trPr>
          <w:cantSplit/>
          <w:trHeight w:val="180"/>
        </w:trPr>
        <w:tc>
          <w:tcPr>
            <w:tcW w:w="5000" w:type="pct"/>
          </w:tcPr>
          <w:p w:rsidR="00AE54BF" w:rsidRPr="00AE54BF" w:rsidRDefault="00AE54BF" w:rsidP="00AE54BF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AE54BF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AE54BF" w:rsidRPr="00AE54BF" w:rsidTr="009018EA">
        <w:trPr>
          <w:cantSplit/>
          <w:trHeight w:val="1417"/>
        </w:trPr>
        <w:tc>
          <w:tcPr>
            <w:tcW w:w="5000" w:type="pct"/>
          </w:tcPr>
          <w:p w:rsidR="00AE54BF" w:rsidRPr="00AE54BF" w:rsidRDefault="00AE54BF" w:rsidP="00AE54BF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AE54BF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AE54BF">
              <w:rPr>
                <w:i w:val="0"/>
              </w:rPr>
              <w:br/>
              <w:t>высшего образования</w:t>
            </w:r>
            <w:r w:rsidRPr="00AE54BF">
              <w:rPr>
                <w:i w:val="0"/>
              </w:rPr>
              <w:br/>
            </w:r>
            <w:r w:rsidRPr="00AE54BF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AE54BF" w:rsidRPr="00AE54BF" w:rsidRDefault="00AE54BF" w:rsidP="00AE54BF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AE54BF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AE54BF" w:rsidRPr="00AE54BF" w:rsidRDefault="00AE54BF" w:rsidP="00AE54B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7414B891" wp14:editId="59F97E6C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AE54BF" w:rsidRPr="00AE54BF" w:rsidRDefault="00AE54BF" w:rsidP="00AE54BF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AE54BF" w:rsidRPr="00AE54BF" w:rsidTr="009018EA">
        <w:tc>
          <w:tcPr>
            <w:tcW w:w="2688" w:type="pct"/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AE54BF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AE54BF" w:rsidRPr="00AE54BF" w:rsidRDefault="00AE54BF" w:rsidP="00AE54B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AE54BF" w:rsidRPr="00AE54BF" w:rsidRDefault="00AE54BF" w:rsidP="00AE54BF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AE54BF" w:rsidRPr="00AE54BF" w:rsidRDefault="00AE54BF" w:rsidP="00AE54BF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AE54BF" w:rsidRPr="00AE54BF" w:rsidTr="009018EA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Б1.Б.28 "Основы организации применения систем специального назначения"</w:t>
            </w:r>
          </w:p>
        </w:tc>
      </w:tr>
      <w:tr w:rsidR="00AE54BF" w:rsidRPr="00AE54BF" w:rsidTr="009018EA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54BF" w:rsidRPr="00AE54BF" w:rsidTr="009018EA">
        <w:trPr>
          <w:trHeight w:val="218"/>
        </w:trPr>
        <w:tc>
          <w:tcPr>
            <w:tcW w:w="1062" w:type="pct"/>
            <w:gridSpan w:val="4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AE54BF" w:rsidRPr="00AE54BF" w:rsidTr="009018EA">
        <w:trPr>
          <w:trHeight w:val="51"/>
        </w:trPr>
        <w:tc>
          <w:tcPr>
            <w:tcW w:w="1062" w:type="pct"/>
            <w:gridSpan w:val="4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AE54BF" w:rsidRPr="00AE54BF" w:rsidTr="009018EA">
        <w:trPr>
          <w:trHeight w:val="72"/>
        </w:trPr>
        <w:tc>
          <w:tcPr>
            <w:tcW w:w="1042" w:type="pct"/>
            <w:gridSpan w:val="3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AE54BF" w:rsidRPr="00AE54BF" w:rsidTr="009018EA">
        <w:trPr>
          <w:trHeight w:val="51"/>
        </w:trPr>
        <w:tc>
          <w:tcPr>
            <w:tcW w:w="1042" w:type="pct"/>
            <w:gridSpan w:val="3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AE54BF" w:rsidRPr="00AE54BF" w:rsidTr="009018EA">
        <w:trPr>
          <w:trHeight w:val="67"/>
        </w:trPr>
        <w:tc>
          <w:tcPr>
            <w:tcW w:w="736" w:type="pct"/>
            <w:gridSpan w:val="2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AE54BF" w:rsidRPr="00AE54BF" w:rsidTr="009018EA">
        <w:tc>
          <w:tcPr>
            <w:tcW w:w="736" w:type="pct"/>
            <w:gridSpan w:val="2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54BF" w:rsidRPr="00AE54BF" w:rsidTr="009018EA">
        <w:trPr>
          <w:trHeight w:val="129"/>
        </w:trPr>
        <w:tc>
          <w:tcPr>
            <w:tcW w:w="1236" w:type="pct"/>
            <w:gridSpan w:val="5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AE54BF" w:rsidRPr="00AE54BF" w:rsidTr="009018EA">
        <w:trPr>
          <w:trHeight w:val="57"/>
        </w:trPr>
        <w:tc>
          <w:tcPr>
            <w:tcW w:w="1236" w:type="pct"/>
            <w:gridSpan w:val="5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E54BF" w:rsidRPr="00AE54BF" w:rsidTr="009018EA">
        <w:trPr>
          <w:trHeight w:val="97"/>
        </w:trPr>
        <w:tc>
          <w:tcPr>
            <w:tcW w:w="629" w:type="pct"/>
            <w:vAlign w:val="bottom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54BF" w:rsidRPr="00AE54BF" w:rsidTr="009018EA">
        <w:tc>
          <w:tcPr>
            <w:tcW w:w="629" w:type="pct"/>
          </w:tcPr>
          <w:p w:rsidR="00AE54BF" w:rsidRPr="00AE54BF" w:rsidRDefault="00AE54BF" w:rsidP="00AE54BF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AE54BF" w:rsidRPr="00AE54BF" w:rsidRDefault="00AE54BF" w:rsidP="00AE54BF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AE54BF" w:rsidRPr="00AE54BF" w:rsidRDefault="00AE54BF" w:rsidP="00AE54BF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AE54BF" w:rsidRPr="00AE54BF" w:rsidRDefault="00AE54BF" w:rsidP="00AE54BF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AE54BF">
        <w:rPr>
          <w:rFonts w:ascii="Times New Roman" w:hAnsi="Times New Roman" w:cs="Times New Roman"/>
          <w:sz w:val="28"/>
        </w:rPr>
        <w:t>Москва 20</w:t>
      </w:r>
      <w:r w:rsidRPr="00AE54BF">
        <w:rPr>
          <w:rFonts w:ascii="Times New Roman" w:hAnsi="Times New Roman" w:cs="Times New Roman"/>
          <w:sz w:val="28"/>
          <w:lang w:val="en-US"/>
        </w:rPr>
        <w:t>18</w:t>
      </w:r>
    </w:p>
    <w:p w:rsidR="00AE54BF" w:rsidRPr="00AE54BF" w:rsidRDefault="00AE54BF" w:rsidP="00AE54BF">
      <w:pPr>
        <w:spacing w:after="0"/>
        <w:rPr>
          <w:rFonts w:ascii="Times New Roman" w:hAnsi="Times New Roman" w:cs="Times New Roman"/>
        </w:rPr>
      </w:pPr>
      <w:r w:rsidRPr="00AE54BF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AE54BF" w:rsidRPr="00AE54BF" w:rsidTr="009018EA">
        <w:trPr>
          <w:trHeight w:val="181"/>
        </w:trPr>
        <w:tc>
          <w:tcPr>
            <w:tcW w:w="2141" w:type="pct"/>
            <w:vAlign w:val="bottom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ст. пр. Щербакова С.Н.</w:t>
            </w:r>
          </w:p>
        </w:tc>
      </w:tr>
      <w:tr w:rsidR="00AE54BF" w:rsidRPr="00AE54BF" w:rsidTr="009018EA">
        <w:trPr>
          <w:trHeight w:val="57"/>
        </w:trPr>
        <w:tc>
          <w:tcPr>
            <w:tcW w:w="2141" w:type="pct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BF" w:rsidRPr="00AE54BF" w:rsidRDefault="00AE54BF" w:rsidP="00AE54B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AE54BF" w:rsidRPr="00AE54BF" w:rsidTr="009018EA">
        <w:trPr>
          <w:trHeight w:val="181"/>
        </w:trPr>
        <w:tc>
          <w:tcPr>
            <w:tcW w:w="5000" w:type="pct"/>
            <w:gridSpan w:val="2"/>
            <w:vAlign w:val="bottom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AE54BF" w:rsidRPr="00AE54BF" w:rsidTr="009018EA">
        <w:trPr>
          <w:trHeight w:val="181"/>
        </w:trPr>
        <w:tc>
          <w:tcPr>
            <w:tcW w:w="1565" w:type="pct"/>
            <w:vAlign w:val="bottom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AE54BF" w:rsidRPr="00AE54BF" w:rsidTr="009018EA">
        <w:trPr>
          <w:trHeight w:val="57"/>
        </w:trPr>
        <w:tc>
          <w:tcPr>
            <w:tcW w:w="1565" w:type="pct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BF" w:rsidRPr="00AE54BF" w:rsidRDefault="00AE54BF" w:rsidP="00AE54BF">
      <w:pPr>
        <w:spacing w:after="0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AE54BF" w:rsidRPr="00AE54BF" w:rsidRDefault="00AE54BF" w:rsidP="00AE54B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AE54BF" w:rsidRPr="00AE54BF" w:rsidTr="009018EA">
        <w:trPr>
          <w:trHeight w:val="181"/>
        </w:trPr>
        <w:tc>
          <w:tcPr>
            <w:tcW w:w="1637" w:type="pct"/>
            <w:vAlign w:val="bottom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AE54BF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AE54BF" w:rsidRPr="00AE54BF" w:rsidTr="009018EA">
        <w:trPr>
          <w:trHeight w:val="57"/>
        </w:trPr>
        <w:tc>
          <w:tcPr>
            <w:tcW w:w="1637" w:type="pct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BF" w:rsidRPr="00AE54BF" w:rsidRDefault="00AE54BF" w:rsidP="00AE54BF">
      <w:pPr>
        <w:spacing w:after="0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СОГЛАСОВАНО:</w:t>
      </w:r>
    </w:p>
    <w:p w:rsidR="00AE54BF" w:rsidRPr="00AE54BF" w:rsidRDefault="00AE54BF" w:rsidP="00AE54BF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AE54BF" w:rsidRPr="00AE54BF" w:rsidTr="009018EA">
        <w:trPr>
          <w:trHeight w:val="181"/>
        </w:trPr>
        <w:tc>
          <w:tcPr>
            <w:tcW w:w="5000" w:type="pct"/>
            <w:gridSpan w:val="3"/>
            <w:vAlign w:val="bottom"/>
          </w:tcPr>
          <w:p w:rsidR="00AE54BF" w:rsidRPr="00AE54BF" w:rsidRDefault="00AE54BF" w:rsidP="00AE54BF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AE54BF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AE54BF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AE54BF" w:rsidRPr="00AE54BF" w:rsidTr="009018EA">
        <w:trPr>
          <w:trHeight w:val="181"/>
        </w:trPr>
        <w:tc>
          <w:tcPr>
            <w:tcW w:w="3219" w:type="pct"/>
            <w:vAlign w:val="bottom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AE54BF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AE54BF" w:rsidRPr="00AE54BF" w:rsidTr="009018EA">
        <w:trPr>
          <w:trHeight w:val="57"/>
        </w:trPr>
        <w:tc>
          <w:tcPr>
            <w:tcW w:w="3219" w:type="pct"/>
          </w:tcPr>
          <w:p w:rsidR="00AE54BF" w:rsidRPr="00AE54BF" w:rsidRDefault="00AE54BF" w:rsidP="00AE54BF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AE54BF" w:rsidRPr="00AE54BF" w:rsidRDefault="00AE54BF" w:rsidP="00AE54BF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AE54BF" w:rsidRPr="00AE54BF" w:rsidRDefault="00AE54BF" w:rsidP="00AE54BF">
      <w:pPr>
        <w:spacing w:after="0"/>
        <w:rPr>
          <w:rFonts w:ascii="Times New Roman" w:hAnsi="Times New Roman" w:cs="Times New Roman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br w:type="page"/>
      </w:r>
      <w:r w:rsidRPr="00AE54BF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имеет своей целью способствовать формированию у обучающихся общекультурных (ОК-6, ОК-9, ОК-11) и общепрофессиональных (ОПК-3, ОПК-4)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является базовой дисциплиной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6 зачетных единиц (216 акад. час.).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Для освоения дисциплины "Основы организации применения систем специального назначения"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Психология (инклюзивный курс)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История (1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Философия (4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lastRenderedPageBreak/>
        <w:t xml:space="preserve"> - Прикладная оптика (5, 6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Электронные и оптико-электронные приборы специального назначения (6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Математическое моделирование систем специального назначения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Оптика атмосферы и океана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Безопасность жизнедеятельности (5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Правоведение (3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Национальная система информационной безопасности (7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Освоение дисциплины "Основы организации применения систем специального назначения"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принятию организационно-</w:t>
      </w:r>
      <w:r w:rsidRPr="00AE54BF">
        <w:rPr>
          <w:rFonts w:ascii="Times New Roman" w:hAnsi="Times New Roman" w:cs="Times New Roman"/>
          <w:sz w:val="28"/>
        </w:rPr>
        <w:lastRenderedPageBreak/>
        <w:t xml:space="preserve">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ОК-11 (способность к осуществлению воспитательной и обучающей деятельности в профессиональной сфере, применению творчества, инициативы и настойчивости в достижении социальных и профессиональных целей):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ОПК-3 (способность применять современные методы научно-исследовательской и практической деятельности):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ОПК-4 (способность использовать нормативные правовые акты в своей профессиональной деятельности):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364"/>
        <w:gridCol w:w="3021"/>
      </w:tblGrid>
      <w:tr w:rsidR="00AE54BF" w:rsidRPr="00AE54BF" w:rsidTr="00AE54BF">
        <w:trPr>
          <w:trHeight w:val="285"/>
        </w:trPr>
        <w:tc>
          <w:tcPr>
            <w:tcW w:w="6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30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ОК-6 (способность к работе в многонациональном коллективе, к трудовой кооперации, к формированию в качестве руководителя подразделения целей его деятельности, к </w:t>
            </w: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принятию организационно-управленческих решений в ситуациях риска и способность нести за них ответственность, а также применять методы конструктивного разрешения конфликтных ситуаций)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Знать о работе в многонациональном коллективе, трудовой кооперации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методы конструктивного разрешения конфликтных ситуаций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качеством руководителя подразделения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ОК-9 (способность к логическому мышлению, обобщению, анализу, критическому осмыслению, систематизации, прогнозированию, постановке исследовательских задач и выбору путей их достижения)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способы самостоятельного получения и применения знаний в той или иной области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выстраивать логические цепочки, прогнозировать и осмыслять предстоящие задачи и пути их решения в оптотехнике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верно оценивать поставленную задачу и ориентироваться в способах ее решения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ОПК-3 (способность применять современные методы научно-исследовательской и практической деятельности)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проведения научных экспериментов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наглядно демонстрировать полученные результаты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способностью применять </w:t>
            </w: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современные методы и порождать новые идеи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ОПК-4 (способность использовать нормативные правовые акты в своей профессиональной деятельности)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основы трудового, гражданского и административного права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применять полученные знания в конкретных ситуациях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всем необходимым объёмом информации при решении правовых проблем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  <w:tr w:rsidR="00AE54BF" w:rsidRPr="00AE54BF" w:rsidTr="00AE54BF">
        <w:trPr>
          <w:trHeight w:val="285"/>
        </w:trPr>
        <w:tc>
          <w:tcPr>
            <w:tcW w:w="63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30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E54BF" w:rsidRPr="00AE54BF" w:rsidRDefault="00AE54BF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</w:tr>
    </w:tbl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AE54BF" w:rsidRPr="00AE54BF" w:rsidTr="00AE54BF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lastRenderedPageBreak/>
              <w:t>4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9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AE54BF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По материалам 9 семестра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AE54BF" w:rsidRPr="00AE54BF" w:rsidTr="00AE54B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Всего в 9 семестре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54</w:t>
            </w:r>
          </w:p>
        </w:tc>
        <w:tc>
          <w:tcPr>
            <w:tcW w:w="142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AE54BF" w:rsidRPr="00AE54BF" w:rsidTr="00AE54BF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118</w:t>
            </w:r>
          </w:p>
        </w:tc>
        <w:tc>
          <w:tcPr>
            <w:tcW w:w="92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9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AE54BF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AE54BF" w:rsidRPr="00AE54BF" w:rsidRDefault="00AE54BF" w:rsidP="00AE54BF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Известные в мировой практике государственные подходы к созданию и применению  нормативной и правовой базы использования досмотровых технических средств и систем.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Анализ существующих в мировой практике государственных систем обеспечения нормативных и правовых норм деятельности по обеспечению безопасности населения на транспорте и использованию при осуществлении этой деятельности специальных технических средств.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лицензирования в РФ деятельности по обеспечению безопасности населения на транспорте.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Правовое и нормативное обеспечение эксплуатации  досмотровых систем специального назначения. 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Правовая основа сертификации в РФ применяемых досмотровых технических средств </w:t>
            </w: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и систем.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Правила лицензирования  деятельности по обеспечению безопасности объектов транспорта и других критических объектов и сертификации применяемых досмотровых технических средств.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деятельности по обеспечению безопасности и используемым техническим средствам.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Лицензионные требования по обеспечению условий эксплуатации досмотровых систем. 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 используемым техническим средствам.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используемым досмотровым техническим средствам.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крупногабаритных транспортных средств и грузов.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крупногабаритных транспортных средств и грузов.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пассажиров, их ручной клади и багажа.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пассажиров, их ручной клади и багажа.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предметов на месте их обнаружения.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Сертификационные требования к досмотровым техническим средствам для досмотра предметов на месте их обнаружения.</w:t>
            </w:r>
          </w:p>
        </w:tc>
      </w:tr>
    </w:tbl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Правовое и нормативное обеспечение эксплуатации  досмотровых систем специального назначения.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лицензирования в РФ деятельности по обеспечению безопасности населения на транспорте.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Правовая основа сертификации в РФ применяемых досмотровых технических средств и систем.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деятельности по обеспечению безопасности и используемым техническим средствам.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и порядок формирования требований к  используемым техническим средствам.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крупногабаритных транспортных средств и грузов.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пассажиров, их ручной клади и багажа.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Формирования требований к  техническим средствам, используемым для досмотра предметов на месте их обнаружения.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9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lastRenderedPageBreak/>
        <w:t>- подготовка к занятиям с использованием конспектов и приведенных ниже (п/п.п. 8.1 и 8.2) источников;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"Основы организации применения систем специального назначения",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 работе в многонациональном коллективе, трудовой кооперации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методы конструктивного разрешения конфликтных ситуаций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(ОК-6)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качеством руководителя подразделения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способов самостоятельного получения и применения знаний в той или иной области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выстраивать логические цепочки, прогнозировать и осмыслять предстоящие задачи и пути их решения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(ОК-9)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верно оценивать поставленную задачу и ориентироваться в способах ее решения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проведения научных экспериментов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наглядно демонстрировать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применять современные методы и порождать новые идеи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 трудового, гражданского и административного права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применять полученные знания в конкретных ситуациях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AE54BF" w:rsidRPr="00AE54BF" w:rsidTr="00AE54BF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всем необходимым объёмом информации при решении правовых проблем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54BF" w:rsidRPr="00AE54BF" w:rsidRDefault="00AE54BF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AE54B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AE54BF" w:rsidRPr="00AE54BF" w:rsidTr="00AE54BF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 xml:space="preserve">Фрагментарные </w:t>
            </w: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>знания</w:t>
            </w:r>
          </w:p>
        </w:tc>
        <w:tc>
          <w:tcPr>
            <w:tcW w:w="280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 xml:space="preserve">Частично освоенное </w:t>
            </w: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>умение</w:t>
            </w:r>
          </w:p>
        </w:tc>
        <w:tc>
          <w:tcPr>
            <w:tcW w:w="324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 xml:space="preserve">Фрагментарное </w:t>
            </w: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>применение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56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AE54BF" w:rsidRPr="00AE54BF" w:rsidTr="00AE54BF">
        <w:trPr>
          <w:trHeight w:val="285"/>
        </w:trPr>
        <w:tc>
          <w:tcPr>
            <w:tcW w:w="482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AE54BF" w:rsidRPr="00AE54BF" w:rsidRDefault="00AE54BF" w:rsidP="00AE54B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AE54BF" w:rsidRPr="00AE54BF" w:rsidTr="00AE54BF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AE54BF" w:rsidRPr="00AE54BF" w:rsidTr="00AE54BF">
        <w:trPr>
          <w:trHeight w:val="285"/>
        </w:trPr>
        <w:tc>
          <w:tcPr>
            <w:tcW w:w="1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AE54BF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AE54BF" w:rsidRPr="00AE54BF" w:rsidRDefault="00AE54BF" w:rsidP="00AE54BF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общекультурных (ОК-6, ОК-9, ОК-11) и общепрофессиональных (ОПК-3, </w:t>
      </w:r>
      <w:r w:rsidRPr="00AE54BF">
        <w:rPr>
          <w:rFonts w:ascii="Times New Roman" w:hAnsi="Times New Roman" w:cs="Times New Roman"/>
          <w:sz w:val="28"/>
        </w:rPr>
        <w:lastRenderedPageBreak/>
        <w:t xml:space="preserve">ОПК-4), в рамках текущего контроля по дисциплине) по разделам дисциплины: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Примеры государственных систем обеспечения нормативных и правовых норм деятельности по обеспечению безопасности населения на транспорте.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Правовые и нормативные акты обеспечения эксплуатации  досмотровых систем специального назначения.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- Правила лицензирования  деятельности по обеспечению безопасности объектов транспорта и других критических объектов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- Лицензионные требования по обеспечению условий эксплуатации досмотровых систем.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Сертификационные требования к используемым досмотровым техническим средствам.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- Система лицензирования деятельности по обеспечению безопасности объектов транспорта.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Органы лицензирования..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Порядок обращения в органы лицензирования.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-  Перечень необходимой для получения лицензии документации, требования к ее оформлению.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общекультурных (ОК-6, ОК-9, ОК-11) и общепрофессиональных (ОПК-3, ОПК-4) в рамках промежуточного контроля по дисциплине) по разделам дисциплины представлен в Приложении 2 к Рабочей программе.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"Основы организации применения систем специального назначения"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67"/>
        <w:gridCol w:w="2358"/>
        <w:gridCol w:w="3140"/>
      </w:tblGrid>
      <w:tr w:rsidR="00AE54BF" w:rsidRPr="00AE54BF" w:rsidTr="00AE54BF">
        <w:trPr>
          <w:trHeight w:val="285"/>
        </w:trPr>
        <w:tc>
          <w:tcPr>
            <w:tcW w:w="2037" w:type="dxa"/>
            <w:vMerge w:val="restart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2" w:type="dxa"/>
            <w:gridSpan w:val="3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AE54BF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492" w:type="dxa"/>
            <w:gridSpan w:val="2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vMerge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AE54BF" w:rsidRPr="00AE54BF" w:rsidTr="00AE54BF">
        <w:trPr>
          <w:trHeight w:val="285"/>
        </w:trPr>
        <w:tc>
          <w:tcPr>
            <w:tcW w:w="2037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098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4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90" w:type="dxa"/>
            <w:noWrap/>
            <w:hideMark/>
          </w:tcPr>
          <w:p w:rsidR="00AE54BF" w:rsidRPr="00AE54BF" w:rsidRDefault="00AE54BF" w:rsidP="00AE54BF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AE54BF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AE54BF" w:rsidRPr="00AE54BF" w:rsidRDefault="00AE54BF" w:rsidP="00AE54BF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lastRenderedPageBreak/>
        <w:t xml:space="preserve">Дисциплина "Основы организации применения систем специального назначения"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lastRenderedPageBreak/>
        <w:t>8. Ресурсное обеспечение дисциплины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1. Марченко О.М. Гауссов свет; Лань 2016, 1-е изд.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2. Русинов, М. М. Техническая оптика : учебное пособие; КД Либроком, 2017 488 c.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4. Федеральный закон от 06.12.2011 №409-ФЗ «О техническом регулировании»;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5. Постановление Правительства Российской Федерации от 01.12009 № 982 «Об утверждении единого перечня продукции, подлежащей обязательной сертификации, и единого перечня продукции, подтверждение соответствия которой осуществляется в форме принятия декларации о соответствии»;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 xml:space="preserve">6. «Сертификационные требования к специальным техническим средствам обеспечения авиационной безопасности», утвержденные заместителем Директора Федеральной авиационной службы России 12.02.1998;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1. Приложение 17 к Конвенции ИКАО;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2. Руководство по безопасности для защиты гражданской авиации от актов незаконного вмешательства (Док. 8973 ИКАО);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3. Руководство Европейской конференции гражданской авиации (ЕКГА). Рекомендации и резолюции по вопросам безопасности и оборудованию;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http://www.library.mirea.ru.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AE54BF">
        <w:rPr>
          <w:rFonts w:ascii="Times New Roman" w:hAnsi="Times New Roman" w:cs="Times New Roman"/>
          <w:sz w:val="28"/>
        </w:rPr>
        <w:lastRenderedPageBreak/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AE54BF" w:rsidRPr="00AE54BF" w:rsidRDefault="00AE54BF" w:rsidP="00AE54B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E54BF" w:rsidRPr="00AE54BF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BF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AE54BF" w:rsidRPr="00AE54BF" w:rsidRDefault="00AE54BF" w:rsidP="00AE54B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BF">
        <w:rPr>
          <w:rFonts w:ascii="Times New Roman" w:hAnsi="Times New Roman" w:cs="Times New Roman"/>
          <w:b/>
          <w:sz w:val="28"/>
          <w:szCs w:val="28"/>
        </w:rPr>
        <w:t>Б1.Б.28 "Основы организации применения систем специального назначения"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54BF" w:rsidRPr="00AE54BF" w:rsidTr="009018E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54BF" w:rsidRPr="00AE54BF" w:rsidTr="009018E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54BF" w:rsidRPr="00AE54BF" w:rsidTr="009018E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54BF" w:rsidRPr="00AE54BF" w:rsidRDefault="00AE54BF" w:rsidP="00AE54B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E54BF" w:rsidRPr="00AE54BF" w:rsidRDefault="00AE54BF" w:rsidP="00AE54BF">
      <w:pPr>
        <w:rPr>
          <w:rFonts w:ascii="Times New Roman" w:hAnsi="Times New Roman" w:cs="Times New Roman"/>
          <w:b/>
          <w:sz w:val="28"/>
          <w:szCs w:val="28"/>
        </w:rPr>
      </w:pPr>
      <w:r w:rsidRPr="00AE54BF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E54BF" w:rsidRPr="00AE54BF" w:rsidRDefault="00AE54BF" w:rsidP="00AE54B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B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AE54BF" w:rsidRPr="00AE54BF" w:rsidRDefault="00AE54BF" w:rsidP="00AE54BF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E54BF">
        <w:rPr>
          <w:rFonts w:ascii="Times New Roman" w:hAnsi="Times New Roman" w:cs="Times New Roman"/>
          <w:b/>
          <w:sz w:val="28"/>
          <w:szCs w:val="28"/>
        </w:rPr>
        <w:t>Б1.Б.28 "Основы организации применения систем специального назначения"</w:t>
      </w:r>
      <w:r w:rsidRPr="00AE54B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AE54BF" w:rsidRPr="00AE54BF" w:rsidTr="009018EA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AE54BF" w:rsidRPr="00AE54BF" w:rsidTr="009018EA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  <w:r w:rsidRPr="00AE54BF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AE54BF" w:rsidRPr="00AE54BF" w:rsidTr="009018EA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AE54BF" w:rsidRPr="00AE54BF" w:rsidTr="009018EA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AE54BF" w:rsidRPr="00AE54BF" w:rsidRDefault="00AE54BF" w:rsidP="009018EA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AE54BF" w:rsidRPr="00AE54BF" w:rsidRDefault="00AE54BF" w:rsidP="00AE54BF">
      <w:pPr>
        <w:rPr>
          <w:rFonts w:ascii="Times New Roman" w:hAnsi="Times New Roman" w:cs="Times New Roman"/>
        </w:rPr>
      </w:pP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AE54BF" w:rsidSect="00AE54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AE54BF" w:rsidRPr="00AE54BF" w:rsidRDefault="00AE54BF" w:rsidP="00AE54BF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AE54BF" w:rsidRPr="00AE54BF" w:rsidRDefault="00AE54BF" w:rsidP="00AE54B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Аннотация</w:t>
      </w:r>
    </w:p>
    <w:p w:rsidR="00AE54BF" w:rsidRPr="00AE54BF" w:rsidRDefault="00AE54BF" w:rsidP="00AE54BF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>к рабочей программе дисциплины "Основы организации применения систем специального назначения"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"Основы организации применения систем специального назначения" имеет своей целью способствовать формированию у обучающихся общекультурных (ОК-6, ОК-9, ОК-11) и общепрофессиональных (ОПК-3, ОПК-4) компетенций в соответствии с требованиями ФГОС ВО по направлению подготовки бакалавров 12.05.01 "Электронные и оптико-электронные приборы" с учетом специфики профиля подготовки  - "Оптико-электронные приборы и системы специального назначения". В результате изучения дисциплины обучающийся должен: 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Знать: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 работе в многонациональном коллективе, трудовой кооперации (ОК-6);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Способы самостоятельного получения и применения знаний в той или иной области (ОК-9);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получения, анализа и обработки вновь поступающей информации (ОК-11);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Методами проведения научных экспериментов (ОПК-3);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Основы трудового, гражданского и административного права (ОПК-4);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Уметь: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методы конструктивного разрешения конфликтных ситуаций (ОК-6);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Выстраивать логические цепочки, прогнозировать и осмыслять предстоящие задачи и пути их решения в оптотехнике (ОК-9);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Находить выходы из сложных ситуаций при помощи собственной инициативы и креативного мышления (ОК-11);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Наглядно демонстрировать полученные результаты (ОПК-3);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Применять полученные знания в конкретных ситуациях (ОПК-4);</w:t>
      </w: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Качеством руководителя подразделения (ОК-6);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верно оценивать поставленную задачу и ориентироваться в способах ее решения (ОК-9);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адаптироваться к изменяющимся условиям, переоценивать накопленный опыт, анализировать свои возможности (ОК-11);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Способностью применять современные методы и порождать новые идеи (ОПК-3);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Всем необходимым объёмом информации при решении правовых проблем (ОПК-4);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P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AE54BF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Дисциплина "Основы организации применения систем специального назначения" является базовой дисциплиной Блока 1 (Дисциплины) учебного плана направления подготовки бакалавров 12.05.01 "Электронные и оптико-электронные приборы" профиля подготовки "Оптико-электронные приборы и системы специального назначения".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6 зачетных единиц (216 акад. час.).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E54BF" w:rsidRPr="004F38A0" w:rsidRDefault="00AE54BF" w:rsidP="00AE54BF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AE54BF" w:rsidRPr="004F38A0" w:rsidRDefault="00AE54BF" w:rsidP="00AE54BF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AE54BF" w:rsidRPr="00EE5F29" w:rsidRDefault="00AE54BF" w:rsidP="00AE54BF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AE54BF" w:rsidRDefault="00AE54BF" w:rsidP="00AE54B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"Основы организации применения систем специального назначения"</w:t>
      </w:r>
    </w:p>
    <w:p w:rsidR="00AE54BF" w:rsidRPr="004F38A0" w:rsidRDefault="00AE54BF" w:rsidP="00AE54BF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AE54BF" w:rsidRPr="00DC0B45" w:rsidRDefault="00AE54BF" w:rsidP="00AE54B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AE54BF" w:rsidRDefault="00AE54BF" w:rsidP="00AE54B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E54BF" w:rsidRPr="00DC0B45" w:rsidRDefault="00AE54BF" w:rsidP="00AE54BF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AE54BF" w:rsidRDefault="00AE54BF" w:rsidP="00AE54BF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AE54BF" w:rsidRDefault="00AE54BF" w:rsidP="00AE54B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(ОК-6, ОК-9, ОК-11) и общепрофессиональных (ОПК-3, ОПК-4)</w:t>
      </w:r>
    </w:p>
    <w:p w:rsidR="00AE54BF" w:rsidRPr="00244B45" w:rsidRDefault="00AE54BF" w:rsidP="00AE54BF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AE54BF" w:rsidRPr="00291C5C" w:rsidRDefault="00AE54BF" w:rsidP="00AE54B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AE54BF" w:rsidRDefault="00AE54BF" w:rsidP="00AE54BF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AE54BF" w:rsidRPr="00291C5C" w:rsidRDefault="00AE54BF" w:rsidP="00AE54BF">
      <w:pPr>
        <w:rPr>
          <w:rFonts w:ascii="Times New Roman" w:eastAsia="Calibri" w:hAnsi="Times New Roman" w:cs="Times New Roman"/>
          <w:sz w:val="28"/>
          <w:szCs w:val="28"/>
        </w:rPr>
      </w:pPr>
    </w:p>
    <w:p w:rsidR="00AE54BF" w:rsidRPr="00291C5C" w:rsidRDefault="00AE54BF" w:rsidP="00AE54B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AE54BF" w:rsidRPr="000A6191" w:rsidRDefault="00AE54BF" w:rsidP="00AE54BF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AE54BF" w:rsidRPr="000A6191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AE54BF" w:rsidRPr="000A6191" w:rsidRDefault="00AE54BF" w:rsidP="00AE54B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AE54BF" w:rsidRPr="000A6191" w:rsidRDefault="00AE54BF" w:rsidP="00AE54BF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AE54BF" w:rsidRPr="000A6191" w:rsidRDefault="00AE54BF" w:rsidP="00AE54B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AE54BF" w:rsidRPr="000A6191" w:rsidRDefault="00AE54BF" w:rsidP="00AE54BF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AE54BF" w:rsidRPr="000A6191" w:rsidRDefault="00AE54BF" w:rsidP="00AE54B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AE54BF" w:rsidRPr="000A6191" w:rsidRDefault="00AE54BF" w:rsidP="00AE54BF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AE54BF" w:rsidRPr="000A6191" w:rsidRDefault="00AE54BF" w:rsidP="00AE54BF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AE54BF" w:rsidRPr="000A6191" w:rsidRDefault="00AE54BF" w:rsidP="00AE54BF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AE54BF" w:rsidRPr="000A6191" w:rsidRDefault="00AE54BF" w:rsidP="00AE54BF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AE54BF" w:rsidRPr="000A6191" w:rsidRDefault="00AE54BF" w:rsidP="00AE54BF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AE54BF" w:rsidRDefault="00AE54BF" w:rsidP="00AE54BF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Оптические  схемы  спектральных  приборов  и  монохроматоров  с  использованием  призм  и  дифракционных  решёток.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Основные  характеристики спектральных  приборов:  аппаратная  функция, разрешающая  способность  область  дисперсии.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3. Квантовые  числа, излучательные  переходы, правила  отбора. 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4. Спектры  многоэлектронных  атомов. Спектры  атомов во  внешних  электрических   и магнитных  полях. 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Эффект  Штарка  и  эффект  Зеемана.</w:t>
      </w:r>
    </w:p>
    <w:p w:rsidR="00AE54BF" w:rsidRDefault="00AE54BF" w:rsidP="00AE54BF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6. Колебательно-вращательные координаты молекул, правила отбора в колебательно-вращательных  спектрах. </w:t>
      </w:r>
    </w:p>
    <w:p w:rsidR="00AE54BF" w:rsidRPr="000A6191" w:rsidRDefault="00AE54BF" w:rsidP="00AE54BF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AE54BF" w:rsidRDefault="00AE54BF" w:rsidP="00AE54BF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(ОК-6, ОК-9, ОК-11) и общепрофессиональных (ОПК-3, ОПК-4) компетенций</w:t>
      </w:r>
    </w:p>
    <w:p w:rsidR="00AE54BF" w:rsidRPr="006504E2" w:rsidRDefault="00AE54BF" w:rsidP="00AE54BF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AE54BF" w:rsidRPr="000A6191" w:rsidRDefault="00AE54BF" w:rsidP="00AE54BF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AE54BF" w:rsidRDefault="00AE54BF" w:rsidP="00AE54BF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"Основы организации применения систем специального назначения" формой промежуточного контроля успеваемости является экзамен.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AE54BF" w:rsidRDefault="00AE54BF" w:rsidP="00AE54B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AE54BF" w:rsidRDefault="00AE54BF" w:rsidP="00AE54B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Спонтанное и вынужденное излучение. Поглощение.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Принцип работы лазера. Структурная схема лазера, принципы накачки, принципы обратной связи. 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 Свойства лазерных пучков: монохроматичность,  когерентность, направленность, яркость.</w:t>
      </w:r>
    </w:p>
    <w:p w:rsidR="00AE54BF" w:rsidRDefault="00AE54BF" w:rsidP="00AE54BF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Матрицы ABCD. Линзовый волновод, лучи в линзоподобной среде, распространение лучей между зеркалами.</w:t>
      </w:r>
    </w:p>
    <w:p w:rsidR="001A69BA" w:rsidRPr="00AE54BF" w:rsidRDefault="001A69BA" w:rsidP="00AE54BF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AE54BF" w:rsidSect="00AE5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54BF"/>
    <w:rsid w:val="001A69BA"/>
    <w:rsid w:val="00AE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54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54B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54B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5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54B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E54B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E54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AE54BF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AE54BF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AE54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AE54BF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AE54BF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2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7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6736</Words>
  <Characters>38401</Characters>
  <Application>Microsoft Office Word</Application>
  <DocSecurity>0</DocSecurity>
  <Lines>320</Lines>
  <Paragraphs>90</Paragraphs>
  <ScaleCrop>false</ScaleCrop>
  <Company/>
  <LinksUpToDate>false</LinksUpToDate>
  <CharactersWithSpaces>45047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2018-12-12T01:18:00Z</dcterms:created>
  <dcterms:modified xsi:type="dcterms:W3CDTF">2018-12-12T01:18:00Z</dcterms:modified>
</cp:coreProperties>
</file>