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Подготовка к сдаче и сдача государственного экзамена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Кузнецов В.В.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является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>
      <w:r>
        <w:rPr>
          <w:rFonts w:ascii="Times New Roman" w:hAnsi="Times New Roman"/>
          <w:sz w:val="28"/>
        </w:rPr>
        <w:t>Учебным планом не предусмотрены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"Подготовка к сдаче и сдача государственного экзамена",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 компетенции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 компетенции) в рамках текущего контроля по дисциплине):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"Подготовка к сдаче и сдача государственного экзамена"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9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44" w:type="dxa"/>
            <w:noWrap/>
            <w:vAlign w:val="center"/>
            <w:hideMark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предусматривает 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Зверев, В.А. Основы вычислительной оптики : учебное пособие / В.А. Зверев, И.Н. Тимощук, Т.В. Точилина. — Санкт-Петербург : Лань, 2018. — 356 с. — ISBN 978-5-8114-3140-3. — Текст : электронный // Электронно-библиотечная система «Лань» : [сайт]. — URL: https://e.lanbook.com/book/108450</w:t>
      </w:r>
    </w:p>
    <w:p>
      <w:r>
        <w:rPr>
          <w:rFonts w:ascii="Times New Roman" w:hAnsi="Times New Roman"/>
          <w:sz w:val="28"/>
        </w:rPr>
        <w:t>2. Квасов, Б.И. Численные методы анализа и линейной алгебры. Использование Matlab и Scilab : учебное пособие / Б.И. Квасов. — Санкт-Петербург : Лань, 2016. — 328 с. — ISBN 978-5-8114-2019-3. — Текст : электронный // Электронно-библиотечная система «Лань» : [сайт]. — URL: https://e.lanbook.com/book/71713</w:t>
      </w:r>
    </w:p>
    <w:p>
      <w:r>
        <w:rPr>
          <w:rFonts w:ascii="Times New Roman" w:hAnsi="Times New Roman"/>
          <w:sz w:val="28"/>
        </w:rPr>
        <w:t>3. Пескин, А.Е. Системы видеонаблюдения. Основы построения, проектирования и эксплуатации : справочное пособие / А.Е. Пескин. — Москва : Горячая линия-Телеком, 2017. — 256 с. — ISBN 978-5-9912-0336-4. — Текст : электронный // Электронно-библиотечная система «Лань» : [сайт]. — URL: https://e.lanbook.com/book/111086</w:t>
      </w:r>
    </w:p>
    <w:p>
      <w:r>
        <w:rPr>
          <w:rFonts w:ascii="Times New Roman" w:hAnsi="Times New Roman"/>
          <w:sz w:val="28"/>
        </w:rPr>
        <w:t>4.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"Подготовка к сдаче и сдача государственного экзамена"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"Подготовка к сдаче и сдача государственного экзамена"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"Подготовка к сдаче и сдача государственного экзамена"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имеет своей целью способствовать формированию у обучающихся 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"Подготовка к сдаче и сдача государственного экзамена" является дисциплиной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0 зачетные единицы (0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"Подготовка к сдаче и сдача государственного экзамена"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