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Информационная оптика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"Информационная оптика"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"Информационная оптика"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22,44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1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1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Интегральные преобразования для расчёта электромагнитного поля в свободном пространстве.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Преобразование Френеля, преобразование Фурье.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поля излучения в свободном пространстве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Распространение и формирование пучков в свободном пространстве.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Гауссовы и гауссово-эрмитовы пучки.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Эволюция гауссова пучка в пространстве, каустика, радиус волнового фронта. Лазерные пучки высшего порядка: распределение амплитуды в поперечном сечении пучка.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Методы расчёта параметров ГП в произвольной оптической системе.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Комплексный радиус кривизны волнового фронта ГП. Прохождение ГП через элементы оптической системы, теорема ABCD, линзовый волновод.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поля в лазерном резонаторе.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Подобие резонатора и линзового волновода. Критерий и диаграмма устойчивости. Алгебра резонатора. Частотный спектр продольных и поперечных мод. Неустойчивые резонаторы. Когерентность многочастотного лазерного излучения.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Потери в лазерном резонаторе.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Дифракционные и другие потери в резонаторе; временной и пространственный параметр потерь. Добротность резонатора. Условия начала генерации. Ширина линии генерации. Лазер под действием внешнего сигнала.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Поляризационно-анизотропные элементы в резонаторе.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Диаграмма Пуанкаре. Матричная теория поляризации. Расчёт собственных частот и поляризационных потерь.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Устройства управления добротностью резонатора.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Матричное описание оптического вентиля; электрооптического амплитудного модулятора и оптического затвора. Управление добротностью резонатора.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методы селекции типов колебаний в резонаторе. Специальные типы резонаторов. Оптико-электронные методы стабилизации частоты лазерного резонатора.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Селекция переходов, частот и мод; интерферометр Фабри-Перо в резонаторе как частотный селектор; дисперсионные элементы в резонаторе: призмы и дифракционные решётки. Кольцевые, волоконно-оптические резонаторы . Стабилизация частоты по провалу Лэмба. Зеемановская ячейка как репер для частотной стабилизации.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гелий-неонового лазера и основных свойств его излучения.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твердотельного лазера на алюмоиттриевом гранате (АИГ).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лазера под действием внешнего сигнала.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1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"Информационная оптика",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2. Матричное описание оптического вентиля; электрооптического амплитудного модулятора и оптического затвора.</w:t>
      </w:r>
    </w:p>
    <w:p>
      <w:r>
        <w:rPr>
          <w:rFonts w:ascii="Times New Roman" w:hAnsi="Times New Roman"/>
          <w:sz w:val="28"/>
        </w:rPr>
        <w:t>3. Ширина линии генерации.</w:t>
      </w:r>
    </w:p>
    <w:p>
      <w:r>
        <w:rPr>
          <w:rFonts w:ascii="Times New Roman" w:hAnsi="Times New Roman"/>
          <w:sz w:val="28"/>
        </w:rPr>
        <w:t>4.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 xml:space="preserve">5.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8. Стабилизация частоты по провалу Лэмба. Зеемановская ячейка как репер для частотной стабилизации.</w:t>
      </w:r>
    </w:p>
    <w:p>
      <w:r>
        <w:rPr>
          <w:rFonts w:ascii="Times New Roman" w:hAnsi="Times New Roman"/>
          <w:sz w:val="28"/>
        </w:rPr>
        <w:t>9. Лазер под действием внешнего сигнала.</w:t>
      </w:r>
    </w:p>
    <w:p>
      <w:r>
        <w:rPr>
          <w:rFonts w:ascii="Times New Roman" w:hAnsi="Times New Roman"/>
          <w:sz w:val="28"/>
        </w:rPr>
        <w:t>10. Неустойчивые резонаторы.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Лазерные пучки высшего порядка: распределение амплитуды в поперечном сечении пучка.</w:t>
      </w:r>
    </w:p>
    <w:p>
      <w:r>
        <w:rPr>
          <w:rFonts w:ascii="Times New Roman" w:hAnsi="Times New Roman"/>
          <w:sz w:val="28"/>
        </w:rPr>
        <w:t>2.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3.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5. Матричная теория поляризации.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"Информационная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"Информационная оптика"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2.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3.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4.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Э. Розеншер, Б. Винтер. Оптоэлектроника. – М.: Техносфера, 2004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"Информационная оптика"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"Информационная оптика"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"Информационная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"Информационная оптика"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"Информационная оптика"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"Информационная оптика"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Преобразование Френеля, преобразование Фурье.</w:t>
      </w:r>
    </w:p>
    <w:p>
      <w:r>
        <w:rPr>
          <w:rFonts w:ascii="Times New Roman" w:hAnsi="Times New Roman"/>
          <w:sz w:val="28"/>
        </w:rPr>
        <w:t>2. Распространение и формирование пучков в свободном пространстве.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Эволюция гауссова пучка в пространстве, каустика, радиус волнового фронта.</w:t>
      </w:r>
    </w:p>
    <w:p>
      <w:r>
        <w:rPr>
          <w:rFonts w:ascii="Times New Roman" w:hAnsi="Times New Roman"/>
          <w:sz w:val="28"/>
        </w:rPr>
        <w:t>5. Лазерные пучки высшего порядка: распределение амплитуды в поперечном сечении пучка.</w:t>
      </w:r>
    </w:p>
    <w:p>
      <w:r>
        <w:rPr>
          <w:rFonts w:ascii="Times New Roman" w:hAnsi="Times New Roman"/>
          <w:sz w:val="28"/>
        </w:rPr>
        <w:t>6. Комплексный радиус кривизны волнового фронта ГП.</w:t>
      </w:r>
    </w:p>
    <w:p>
      <w:r>
        <w:rPr>
          <w:rFonts w:ascii="Times New Roman" w:hAnsi="Times New Roman"/>
          <w:sz w:val="28"/>
        </w:rPr>
        <w:t>7.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8. Прохождение ГП через элементы оптической системы, теорема ABCD, линзовый волновод.</w:t>
      </w:r>
    </w:p>
    <w:p>
      <w:r>
        <w:rPr>
          <w:rFonts w:ascii="Times New Roman" w:hAnsi="Times New Roman"/>
          <w:sz w:val="28"/>
        </w:rPr>
        <w:t xml:space="preserve">9.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10. Подобие резонатора и линзового волновода.</w:t>
      </w:r>
    </w:p>
    <w:p>
      <w:r>
        <w:rPr>
          <w:rFonts w:ascii="Times New Roman" w:hAnsi="Times New Roman"/>
          <w:sz w:val="28"/>
        </w:rPr>
        <w:t>11. Критерий и диаграмма устойчивости. Алгебра резонатора.</w:t>
      </w:r>
    </w:p>
    <w:p>
      <w:r>
        <w:rPr>
          <w:rFonts w:ascii="Times New Roman" w:hAnsi="Times New Roman"/>
          <w:sz w:val="28"/>
        </w:rPr>
        <w:t>12. Частотный спектр продольных и поперечных мод.</w:t>
      </w:r>
    </w:p>
    <w:p>
      <w:r>
        <w:rPr>
          <w:rFonts w:ascii="Times New Roman" w:hAnsi="Times New Roman"/>
          <w:sz w:val="28"/>
        </w:rPr>
        <w:t xml:space="preserve">13.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14. Неустойчивые резонаторы.</w:t>
      </w:r>
    </w:p>
    <w:p>
      <w:r>
        <w:rPr>
          <w:rFonts w:ascii="Times New Roman" w:hAnsi="Times New Roman"/>
          <w:sz w:val="28"/>
        </w:rPr>
        <w:t>15. Эффект  Штарка  и  эффект  Зеемана.</w:t>
      </w:r>
    </w:p>
    <w:p>
      <w:r>
        <w:rPr>
          <w:rFonts w:ascii="Times New Roman" w:hAnsi="Times New Roman"/>
          <w:sz w:val="28"/>
        </w:rPr>
        <w:t>16. Когерентность многочастотного лазерного излучения.</w:t>
      </w:r>
    </w:p>
    <w:p>
      <w:r>
        <w:rPr>
          <w:rFonts w:ascii="Times New Roman" w:hAnsi="Times New Roman"/>
          <w:sz w:val="28"/>
        </w:rPr>
        <w:t xml:space="preserve">17.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18. Дифракционные и другие потери в резонаторе; временной и пространственный параметр потерь. Добротность резонатора.</w:t>
      </w:r>
    </w:p>
    <w:p>
      <w:r>
        <w:rPr>
          <w:rFonts w:ascii="Times New Roman" w:hAnsi="Times New Roman"/>
          <w:sz w:val="28"/>
        </w:rPr>
        <w:t xml:space="preserve">19.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20. Условия начала генерации.</w:t>
      </w:r>
    </w:p>
    <w:p>
      <w:r>
        <w:rPr>
          <w:rFonts w:ascii="Times New Roman" w:hAnsi="Times New Roman"/>
          <w:sz w:val="28"/>
        </w:rPr>
        <w:t>21. Ширина линии генерации.</w:t>
      </w:r>
    </w:p>
    <w:p>
      <w:r>
        <w:rPr>
          <w:rFonts w:ascii="Times New Roman" w:hAnsi="Times New Roman"/>
          <w:sz w:val="28"/>
        </w:rPr>
        <w:t>22. Лазер под действием внешнего сигнала.</w:t>
      </w:r>
    </w:p>
    <w:p>
      <w:r>
        <w:rPr>
          <w:rFonts w:ascii="Times New Roman" w:hAnsi="Times New Roman"/>
          <w:sz w:val="28"/>
        </w:rPr>
        <w:t>23. Диаграмма Пуанкаре.</w:t>
      </w:r>
    </w:p>
    <w:p>
      <w:r>
        <w:rPr>
          <w:rFonts w:ascii="Times New Roman" w:hAnsi="Times New Roman"/>
          <w:sz w:val="28"/>
        </w:rPr>
        <w:t>24.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25. Матричная теория поляризации.</w:t>
      </w:r>
    </w:p>
    <w:p>
      <w:r>
        <w:rPr>
          <w:rFonts w:ascii="Times New Roman" w:hAnsi="Times New Roman"/>
          <w:sz w:val="28"/>
        </w:rPr>
        <w:t>26. Расчёт собственных частот и поляризационных потерь.</w:t>
      </w:r>
    </w:p>
    <w:p>
      <w:r>
        <w:rPr>
          <w:rFonts w:ascii="Times New Roman" w:hAnsi="Times New Roman"/>
          <w:sz w:val="28"/>
        </w:rPr>
        <w:t>27.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28. Матричное описание оптического вентиля; электрооптического амплитудного модулятора и оптического затвора.</w:t>
      </w:r>
    </w:p>
    <w:p>
      <w:r>
        <w:rPr>
          <w:rFonts w:ascii="Times New Roman" w:hAnsi="Times New Roman"/>
          <w:sz w:val="28"/>
        </w:rPr>
        <w:t>29.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30. Управление добротностью резонатора.</w:t>
      </w:r>
    </w:p>
    <w:p>
      <w:r>
        <w:rPr>
          <w:rFonts w:ascii="Times New Roman" w:hAnsi="Times New Roman"/>
          <w:sz w:val="28"/>
        </w:rPr>
        <w:t>31. Селекция переходов, частот и мод; интерферометр Фабри-Перо в резонаторе как частотный селектор; дисперсионные элементы в резонаторе: призмы и дифракционные решётки. Кольцевые, волоконно-оптические резонаторы .</w:t>
      </w:r>
    </w:p>
    <w:p>
      <w:r>
        <w:rPr>
          <w:rFonts w:ascii="Times New Roman" w:hAnsi="Times New Roman"/>
          <w:sz w:val="28"/>
        </w:rPr>
        <w:t>32.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33. Стабилизация частоты по провалу Лэмба. Зеемановская ячейка как репер для частотной стабилизации.</w:t>
      </w:r>
    </w:p>
    <w:p>
      <w:r>
        <w:rPr>
          <w:rFonts w:ascii="Times New Roman" w:hAnsi="Times New Roman"/>
          <w:sz w:val="28"/>
        </w:rPr>
        <w:t>34.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35.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36.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37.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38.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39. Матрицы ABCD. Линзовый волновод, лучи в линзоподобной среде, распространение лучей между зеркалами.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Преобразование Френеля, преобразование Фурье.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Распространение и формирование пучков в свободном пространстве.</w:t>
      </w:r>
    </w:p>
    <w:p>
      <w:r>
        <w:rPr>
          <w:rFonts w:ascii="Times New Roman" w:hAnsi="Times New Roman"/>
          <w:sz w:val="28"/>
        </w:rPr>
        <w:t>4. Эволюция гауссова пучка в пространстве, каустика, радиус волнового фронта.</w:t>
      </w:r>
    </w:p>
    <w:p>
      <w:r>
        <w:rPr>
          <w:rFonts w:ascii="Times New Roman" w:hAnsi="Times New Roman"/>
          <w:sz w:val="28"/>
        </w:rPr>
        <w:t>5. Лазерные пучки высшего порядка: распределение амплитуды в поперечном сечении пучка.</w:t>
      </w:r>
    </w:p>
    <w:p>
      <w:r>
        <w:rPr>
          <w:rFonts w:ascii="Times New Roman" w:hAnsi="Times New Roman"/>
          <w:sz w:val="28"/>
        </w:rPr>
        <w:t>6. Комплексный радиус кривизны волнового фронта ГП.</w:t>
      </w:r>
    </w:p>
    <w:p>
      <w:r>
        <w:rPr>
          <w:rFonts w:ascii="Times New Roman" w:hAnsi="Times New Roman"/>
          <w:sz w:val="28"/>
        </w:rPr>
        <w:t xml:space="preserve">7.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8. Прохождение ГП через элементы оптической системы, теорема ABCD, линзовый волновод.</w:t>
      </w:r>
    </w:p>
    <w:p>
      <w:r>
        <w:rPr>
          <w:rFonts w:ascii="Times New Roman" w:hAnsi="Times New Roman"/>
          <w:sz w:val="28"/>
        </w:rPr>
        <w:t>9. Подобие резонатора и линзового волновода.</w:t>
      </w:r>
    </w:p>
    <w:p>
      <w:r>
        <w:rPr>
          <w:rFonts w:ascii="Times New Roman" w:hAnsi="Times New Roman"/>
          <w:sz w:val="28"/>
        </w:rPr>
        <w:t>10.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11. Критерий и диаграмма устойчивости. Алгебра резонатора.</w:t>
      </w:r>
    </w:p>
    <w:p>
      <w:r>
        <w:rPr>
          <w:rFonts w:ascii="Times New Roman" w:hAnsi="Times New Roman"/>
          <w:sz w:val="28"/>
        </w:rPr>
        <w:t>12. Частотный спектр продольных и поперечных мод.</w:t>
      </w:r>
    </w:p>
    <w:p>
      <w:r>
        <w:rPr>
          <w:rFonts w:ascii="Times New Roman" w:hAnsi="Times New Roman"/>
          <w:sz w:val="28"/>
        </w:rPr>
        <w:t>13.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14. Неустойчивые резонаторы.</w:t>
      </w:r>
    </w:p>
    <w:p>
      <w:r>
        <w:rPr>
          <w:rFonts w:ascii="Times New Roman" w:hAnsi="Times New Roman"/>
          <w:sz w:val="28"/>
        </w:rPr>
        <w:t>15. Когерентность многочастотного лазерного излучения.</w:t>
      </w:r>
    </w:p>
    <w:p>
      <w:r>
        <w:rPr>
          <w:rFonts w:ascii="Times New Roman" w:hAnsi="Times New Roman"/>
          <w:sz w:val="28"/>
        </w:rPr>
        <w:t xml:space="preserve">16.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17. Дифракционные и другие потери в резонаторе; временной и пространственный параметр потерь. Добротность резонатора.</w:t>
      </w:r>
    </w:p>
    <w:p>
      <w:r>
        <w:rPr>
          <w:rFonts w:ascii="Times New Roman" w:hAnsi="Times New Roman"/>
          <w:sz w:val="28"/>
        </w:rPr>
        <w:t>18.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19. Условия начала генерации.</w:t>
      </w:r>
    </w:p>
    <w:p>
      <w:r>
        <w:rPr>
          <w:rFonts w:ascii="Times New Roman" w:hAnsi="Times New Roman"/>
          <w:sz w:val="28"/>
        </w:rPr>
        <w:t>20. Ширина линии генерации.</w:t>
      </w:r>
    </w:p>
    <w:p>
      <w:r>
        <w:rPr>
          <w:rFonts w:ascii="Times New Roman" w:hAnsi="Times New Roman"/>
          <w:sz w:val="28"/>
        </w:rPr>
        <w:t>21. Лазер под действием внешнего сигнала.</w:t>
      </w:r>
    </w:p>
    <w:p>
      <w:r>
        <w:rPr>
          <w:rFonts w:ascii="Times New Roman" w:hAnsi="Times New Roman"/>
          <w:sz w:val="28"/>
        </w:rPr>
        <w:t>22. Диаграмма Пуанкаре.</w:t>
      </w:r>
    </w:p>
    <w:p>
      <w:r>
        <w:rPr>
          <w:rFonts w:ascii="Times New Roman" w:hAnsi="Times New Roman"/>
          <w:sz w:val="28"/>
        </w:rPr>
        <w:t>23. Матричная теория поляризации.</w:t>
      </w:r>
    </w:p>
    <w:p>
      <w:r>
        <w:rPr>
          <w:rFonts w:ascii="Times New Roman" w:hAnsi="Times New Roman"/>
          <w:sz w:val="28"/>
        </w:rPr>
        <w:t>24.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25. Расчёт собственных частот и поляризационных потерь.</w:t>
      </w:r>
    </w:p>
    <w:p>
      <w:r>
        <w:rPr>
          <w:rFonts w:ascii="Times New Roman" w:hAnsi="Times New Roman"/>
          <w:sz w:val="28"/>
        </w:rPr>
        <w:t>26. Матричное описание оптического вентиля; электрооптического амплитудного модулятора и оптического затвора.</w:t>
      </w:r>
    </w:p>
    <w:p>
      <w:r>
        <w:rPr>
          <w:rFonts w:ascii="Times New Roman" w:hAnsi="Times New Roman"/>
          <w:sz w:val="28"/>
        </w:rPr>
        <w:t>27.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28. Управление добротностью резонатора.</w:t>
      </w:r>
    </w:p>
    <w:p>
      <w:r>
        <w:rPr>
          <w:rFonts w:ascii="Times New Roman" w:hAnsi="Times New Roman"/>
          <w:sz w:val="28"/>
        </w:rPr>
        <w:t>29. Селекция переходов, частот и мод; интерферометр Фабри-Перо в резонаторе как частотный селектор; дисперсионные элементы в резонаторе: призмы и дифракционные решётки. Кольцевые, волоконно-оптические резонаторы .</w:t>
      </w:r>
    </w:p>
    <w:p>
      <w:r>
        <w:rPr>
          <w:rFonts w:ascii="Times New Roman" w:hAnsi="Times New Roman"/>
          <w:sz w:val="28"/>
        </w:rPr>
        <w:t>30.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31. Стабилизация частоты по провалу Лэмба. Зеемановская ячейка как репер для частотной стабилизации.</w:t>
      </w:r>
    </w:p>
    <w:p>
      <w:r>
        <w:rPr>
          <w:rFonts w:ascii="Times New Roman" w:hAnsi="Times New Roman"/>
          <w:sz w:val="28"/>
        </w:rPr>
        <w:t>32.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33. Иттербиевые волоконные усилители</w:t>
      </w:r>
    </w:p>
    <w:p>
      <w:r>
        <w:rPr>
          <w:rFonts w:ascii="Times New Roman" w:hAnsi="Times New Roman"/>
          <w:sz w:val="28"/>
        </w:rPr>
        <w:t xml:space="preserve">34.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35. Представление световых полей комплексными функциями.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