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 xml:space="preserve">Оптические и оптико-электронные информационно-измерительные приборы и системы 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"Оптические и оптико-электронные информационно-измерительные приборы и системы 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"Оптические и оптико-электронные информационно-измерительные приборы и системы 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30 зачетные единицы (1080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(Способен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физические процессы и свойства объектов в своей профессиональной деятельности.</w:t>
              <w:br/>
              <w:t>методы проведения исследований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  <w:br/>
              <w:t>обрабатывать и анализировать полученные результаты.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способами обработки, анализа, хранения и представления данных экспериментальных исследований.</w:t>
              <w:br/>
              <w:t>методами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(Способен разрабатывать электронные и оптико-электронные приборы специального назначения и системы специального назначения, технологии получения, хранения и обработки информации.)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6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6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7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7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252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100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8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8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9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зачет, курс. раб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9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118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58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A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A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1032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534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9,65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152,35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Принципы построения современных телекоммуникационных ВОСП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Классификация ВОСП по месту применения в телекоммуникационных сетях. Обобщенная структурная схема волоконно-оптической системы. Система параметров цифровых и аналоговых ВОСП. Современные протоколы сетей с оптическими интерфейсами и телекоммуникационные стандарты для ВОСП. Расчет основных характеристик.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параметры ВОСП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Методы измерения основных параметров. Особенности построения и анализа сверхскоростных цифровых ВОСП с временным разделением каналов, аналоговых ВОСП с частотным разделением каналов и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передающие устройства (ОПУ)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Принципы построения, структурная схема, конструктивное исполнение. Системы параметров ОПУ современных цифровых и аналоговых ВОСП. Схемотехника узлов современного ОПУ различного назначения. Расчет основных характеристик. Методы измерения основных параметров. Особенности построения и анализа ОПУ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Примеры современной продукции лучших мировых производителей и перспективных разработок.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Фотоприемные устройства (ФПУ)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Принципы построения, структурная схема, конструктивное исполнение. Системы параметров ФПУ современных цифровых и аналоговых ВОСП.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Схемотехника узлов современного ФПУ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Схемотехника узлов современного ФПУ различного назначения. Расчет основных характеристик. Методы измерения основных параметров. Особенности построения и анализа ФПУ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Примеры современной продукции лучших мировых производителей и перспективных разработок.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транспортных телекоммуникационных сетей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Сверхскоростные волоконно-оптические системы, системы с спектральным разделением каналов для транспортных и локальных телекоммуникационных сетей, системы волоконно-коаксиальной структуры (HFC) для мультисервисных сетей кабельного телевидения, системы волоконно-эфирной структуры (RoF) для мультисервисных сетей сотовой и персональной связи.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локальных телекоммуникационных сетей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локальных телекоммуникационных сетей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Техническая эксплуатация и  управление современных транспортных сетей на базе ЦСП и ВОСП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Основные положения по организации технической эксплуатации транспортной сети. Принципы организации систем технической эксплуатации  и управления транспортных  сетей. Паспортизация цифровых транспортных систем при вводе в эксплуатацию. Нормирование параметров и классификация оптических стыков. 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Принципы построения современных телекоммуникационных ВОСП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6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параметры ВОСП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передающие устройства (ОПУ)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7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Фотоприемные устройства (ФПУ)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8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Схемотехника узлов современного ФПУ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транспортных телекоммуникационных сетей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9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и перспективные системы для локальных телекоммуникационных сетей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Техническая эксплуатация и  управление современных транспортных сетей на базе ЦСП и ВОСП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A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176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"Оптические и оптико-электронные информационно-измерительные приборы и системы 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физические процессы и свойства объектов в своей профессиональной деятельности.</w:t>
              <w:br/>
              <w:t>методы проведения исследований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  <w:br/>
              <w:t>обрабатывать и анализировать полученные результаты.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способами обработки, анализа, хранения и представления данных экспериментальных исследований.</w:t>
              <w:br/>
              <w:t>методами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профессиональных (ПК-1, ПК-2 )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 xml:space="preserve">1. Паспортизация цифровых транспортных систем при вводе в эксплуатацию. </w:t>
      </w:r>
    </w:p>
    <w:p>
      <w:r>
        <w:rPr>
          <w:rFonts w:ascii="Times New Roman" w:hAnsi="Times New Roman"/>
          <w:sz w:val="28"/>
        </w:rPr>
        <w:t>2.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3.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4. Особенности построения и анализа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</w:r>
    </w:p>
    <w:p>
      <w:r>
        <w:rPr>
          <w:rFonts w:ascii="Times New Roman" w:hAnsi="Times New Roman"/>
          <w:sz w:val="28"/>
        </w:rPr>
        <w:t xml:space="preserve">5. Классификация ВОСП по месту применения в телекоммуникационных сетях. </w:t>
      </w:r>
    </w:p>
    <w:p>
      <w:r>
        <w:rPr>
          <w:rFonts w:ascii="Times New Roman" w:hAnsi="Times New Roman"/>
          <w:sz w:val="28"/>
        </w:rPr>
        <w:t>6.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7.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 xml:space="preserve">8. Особенности построения и анализа ОПУ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>9. Системы волоконно-эфирной структуры (RoF) для мультисервисных сетей сотовой и персональной связи.</w:t>
      </w:r>
    </w:p>
    <w:p>
      <w:r>
        <w:rPr>
          <w:rFonts w:ascii="Times New Roman" w:hAnsi="Times New Roman"/>
          <w:sz w:val="28"/>
        </w:rPr>
        <w:t xml:space="preserve">10. Основные положения по организации технической эксплуатации транспортной сети.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профессиональных (ПК-1, ПК-2 )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Современные и перспективные системы для локальных телекоммуникационных сетей</w:t>
      </w:r>
    </w:p>
    <w:p>
      <w:r>
        <w:rPr>
          <w:rFonts w:ascii="Times New Roman" w:hAnsi="Times New Roman"/>
          <w:sz w:val="28"/>
        </w:rPr>
        <w:t>2.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 xml:space="preserve">3. Паспортизация цифровых транспортных систем при вводе в эксплуатацию. </w:t>
      </w:r>
    </w:p>
    <w:p>
      <w:r>
        <w:rPr>
          <w:rFonts w:ascii="Times New Roman" w:hAnsi="Times New Roman"/>
          <w:sz w:val="28"/>
        </w:rPr>
        <w:t>4. Нормирование параметров и классификация оптических стыков.</w:t>
      </w:r>
    </w:p>
    <w:p>
      <w:r>
        <w:rPr>
          <w:rFonts w:ascii="Times New Roman" w:hAnsi="Times New Roman"/>
          <w:sz w:val="28"/>
        </w:rPr>
        <w:t xml:space="preserve">5. Обобщенная структурная схема волоконно-оптической системы.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профессиональных (ПК-1, 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"Оптические и оптико-электронные информационно-измерительные приборы и системы 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Курсовая работа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 w:rsidR="00C0287D" w:rsidRPr="001031FD" w:rsidRDefault="00A62CD7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 w:rsidR="00C0287D" w:rsidRPr="001031FD" w:rsidRDefault="00024A66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 w:rsidR="00C0287D" w:rsidRPr="001031FD" w:rsidRDefault="00F0134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 xml:space="preserve">Ответы в устной форме, </w:t>
            </w:r>
            <w:r w:rsidR="00553B43">
              <w:rPr>
                <w:rFonts w:ascii="Times New Roman" w:hAnsi="Times New Roman" w:cs="Times New Roman"/>
                <w:sz w:val="16"/>
              </w:rPr>
              <w:t>текст курсовой работы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A54DCA" w:rsidRDefault="004A1898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"Оптические и оптико-электронные информационно-измерительные приборы и системы 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>
      <w:r>
        <w:rPr>
          <w:rFonts w:ascii="Times New Roman" w:hAnsi="Times New Roman"/>
          <w:sz w:val="28"/>
        </w:rPr>
        <w:t>2. Латыев, С.М. Конструирование точных (оптических) приборов [Электронный ресурс] : учебное пособие / С.М. Латыев. — Электрон. дан. — Санкт-Петербург : Лань, 2015. — 560 с</w:t>
      </w:r>
    </w:p>
    <w:p>
      <w:r>
        <w:rPr>
          <w:rFonts w:ascii="Times New Roman" w:hAnsi="Times New Roman"/>
          <w:sz w:val="28"/>
        </w:rPr>
        <w:t>3. Назаров, В.В. Применение пакета Mathcad в задачах оптики лазеров : учебное пособие / В.В. Назаров, В.Ю. Храмов. — Санкт-Петербург : НИУ ИТМО, 2015. — 66 с. — Текст : электронный // Бараночников, М.Л. Приёмники и детекторы излучений : справочник / М.Л. Бараночников. — Москва : ДМК Пресс, 2017. — 1041 с. — ISBN 978-5-97060-532-5. — Текст : электронный // Электронно-библиотечная система «Лань» : [сайт]. — URL: https://e.lanbook.com/book/100900</w:t>
      </w:r>
    </w:p>
    <w:p>
      <w:r>
        <w:rPr>
          <w:rFonts w:ascii="Times New Roman" w:hAnsi="Times New Roman"/>
          <w:sz w:val="28"/>
        </w:rPr>
        <w:t>4. Ландсберг, Г.С. Оптика : учебное пособие / Г.С. Ландсберг. — 7-е изд. — Москва : ФИЗМАТЛИТ, 2017. — 852 с. — ISBN 978-5-9221-1742-5. — Текст : электронный // Электронно-библиотечная система «Лань» : [сайт]. — URL: https://e.lanbook.com/book/105019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Гауэр Дж. Оптические системы связи: Пер. с англ. /Под ред. А. И. Ларкина. – М.: Радио и связь, 1989. - 504 с</w:t>
      </w:r>
    </w:p>
    <w:p>
      <w:r>
        <w:rPr>
          <w:rFonts w:ascii="Times New Roman" w:hAnsi="Times New Roman"/>
          <w:sz w:val="28"/>
        </w:rPr>
        <w:t>2. Гроднев И. И. и др. Волоконно-оптические системы передачи и кабели. Справочник – М.: Радио и Связь, 1993. - 263 с.</w:t>
      </w:r>
    </w:p>
    <w:p>
      <w:r>
        <w:rPr>
          <w:rFonts w:ascii="Times New Roman" w:hAnsi="Times New Roman"/>
          <w:sz w:val="28"/>
        </w:rPr>
        <w:t>3. Шевцов Э.А., Белкин М. Е. Фотоприемные устройства волоконно-оптических систем передачи. – М.: Радио и связь, 1992. – 224 с.</w:t>
      </w:r>
    </w:p>
    <w:p>
      <w:r>
        <w:rPr>
          <w:rFonts w:ascii="Times New Roman" w:hAnsi="Times New Roman"/>
          <w:sz w:val="28"/>
        </w:rPr>
        <w:t>4. Иванов А.Б., Волоконная оптика (компоненты, системы передачи, измерения). –М.: Сайрус системз, 1999. - 671 с.</w:t>
      </w:r>
    </w:p>
    <w:p>
      <w:r>
        <w:rPr>
          <w:rFonts w:ascii="Times New Roman" w:hAnsi="Times New Roman"/>
          <w:sz w:val="28"/>
        </w:rPr>
        <w:t>5. ГОСТ 26599-85. Компоненты волоконно-оптических систем передачи. Термины и определения.</w:t>
      </w:r>
    </w:p>
    <w:p>
      <w:r>
        <w:rPr>
          <w:rFonts w:ascii="Times New Roman" w:hAnsi="Times New Roman"/>
          <w:sz w:val="28"/>
        </w:rPr>
        <w:t>6. Основы проектирования оптико-электронных приборов [Текст]: Учеб. пособие для вузов / А.П. Величко , А.П. Смоляков. — М.: МГУПИ, 2011. — 371 с.: ил. — Библиогр.: с. 371</w:t>
      </w:r>
    </w:p>
    <w:p>
      <w:r>
        <w:rPr>
          <w:rFonts w:ascii="Times New Roman" w:hAnsi="Times New Roman"/>
          <w:sz w:val="28"/>
        </w:rPr>
        <w:t>7. Фриман Р. Волоконно-оптические системы связи: Пер. с англ./ Под ред. Н.Н. Слепова - М.: Техносфера, 2006. – 496 с.</w:t>
      </w:r>
    </w:p>
    <w:p>
      <w:r>
        <w:rPr>
          <w:rFonts w:ascii="Times New Roman" w:hAnsi="Times New Roman"/>
          <w:sz w:val="28"/>
        </w:rPr>
        <w:t>8. Бейли Д., Райт Э. Волоконная оптика. Теория и практика: Пер. с англ. – М.: Кудиц-образ, 2006. – 320 с.</w:t>
      </w:r>
    </w:p>
    <w:p>
      <w:r>
        <w:rPr>
          <w:rFonts w:ascii="Times New Roman" w:hAnsi="Times New Roman"/>
          <w:sz w:val="28"/>
        </w:rPr>
        <w:t>9. Скляров О.К. Волоконно-оптические сети и системы связи. – М.: Солон-Пресс, 2004. –272 4. Гордиенко В. Н. Многоканальные телекоммуникационные системы: Учебник для вузов. - М.: Горячая линия – Телеком, 2007. – 416 с.</w:t>
      </w:r>
    </w:p>
    <w:p>
      <w:r>
        <w:rPr>
          <w:rFonts w:ascii="Times New Roman" w:hAnsi="Times New Roman"/>
          <w:sz w:val="28"/>
        </w:rPr>
        <w:t>10. Скляров О.К. Волоконно-оптические сети и системы связи. – М.: Солон-Пресс, 2004. –272 4. Гордиенко В. Н. Многоканальные телекоммуникационные системы: Учебник для вузов. - М.: Горячая линия – Телеком, 2007. – 416 с.</w:t>
      </w:r>
    </w:p>
    <w:p>
      <w:r>
        <w:rPr>
          <w:rFonts w:ascii="Times New Roman" w:hAnsi="Times New Roman"/>
          <w:sz w:val="28"/>
        </w:rPr>
        <w:t>11. Алексеев Е. Б. и др. Проектирование и техническая эксплуатация цифровых телекоммуникационных систем. Учебное пособие для ВУЗов, Горячая линия – Телеком, М., 2008 г. – 391 с.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"Оптические и оптико-электронные информационно-измерительные приборы и системы 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"Оптические и оптико-электронные информационно-измерительные приборы и системы 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"Оптические и оптико-электронные информационно-измерительные приборы и системы 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"Оптические и оптико-электронные информационно-измерительные приборы и системы 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физические процессы и свойства объектов в своей профессиональной деятельности.</w:t>
        <w:br/>
        <w:t>методы проведения исследований физических процессов и свойств объектов с выбором технических средств, методов измерений, обработки и представления результатов. (ПК-1)</w:t>
      </w:r>
    </w:p>
    <w:p>
      <w:r>
        <w:rPr>
          <w:rFonts w:ascii="Times New Roman" w:hAnsi="Times New Roman"/>
          <w:sz w:val="28"/>
        </w:rPr>
        <w:t>-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проводить исследования физических процессов и свойств объектов с выбором технических средств, методов измерений, обработки и представления результатов.</w:t>
        <w:br/>
        <w:t>обрабатывать и анализировать полученные результаты. (ПК-1)</w:t>
      </w:r>
    </w:p>
    <w:p>
      <w:r>
        <w:rPr>
          <w:rFonts w:ascii="Times New Roman" w:hAnsi="Times New Roman"/>
          <w:sz w:val="28"/>
        </w:rPr>
        <w:t>-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способами обработки, анализа, хранения и представления данных экспериментальных исследований.</w:t>
        <w:br/>
        <w:t>методами исследования физических процессов и свойств объектов с выбором технических средств, методов измерений, обработки и представления результатов. (ПК-1)</w:t>
      </w:r>
    </w:p>
    <w:p>
      <w:r>
        <w:rPr>
          <w:rFonts w:ascii="Times New Roman" w:hAnsi="Times New Roman"/>
          <w:sz w:val="28"/>
        </w:rPr>
        <w:t>-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"Оптические и оптико-электронные информационно-измерительные приборы и системы 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30 зачетные единицы (1080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"Оптические и оптико-электронные информационно-измерительные приборы и системы 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профессиональных (ПК-1, 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 xml:space="preserve">1. Классификация ВОСП по месту применения в телекоммуникационных сетях. </w:t>
      </w:r>
    </w:p>
    <w:p>
      <w:r>
        <w:rPr>
          <w:rFonts w:ascii="Times New Roman" w:hAnsi="Times New Roman"/>
          <w:sz w:val="28"/>
        </w:rPr>
        <w:t xml:space="preserve">2. Обобщенная структурная схема волоконно-оптической системы. </w:t>
      </w:r>
    </w:p>
    <w:p>
      <w:r>
        <w:rPr>
          <w:rFonts w:ascii="Times New Roman" w:hAnsi="Times New Roman"/>
          <w:sz w:val="28"/>
        </w:rPr>
        <w:t xml:space="preserve">3. Система параметров цифровых и аналоговых ВОСП. </w:t>
      </w:r>
    </w:p>
    <w:p>
      <w:r>
        <w:rPr>
          <w:rFonts w:ascii="Times New Roman" w:hAnsi="Times New Roman"/>
          <w:sz w:val="28"/>
        </w:rPr>
        <w:t>4.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 xml:space="preserve">5. Современные протоколы сетей с оптическими интерфейсами и телекоммуникационные стандарты для ВОСП. Расчет основных характеристик. </w:t>
      </w:r>
    </w:p>
    <w:p>
      <w:r>
        <w:rPr>
          <w:rFonts w:ascii="Times New Roman" w:hAnsi="Times New Roman"/>
          <w:sz w:val="28"/>
        </w:rPr>
        <w:t xml:space="preserve">6. Особенности построения и анализа сверхскоростных цифровых ВОСП с временным разделением каналов. </w:t>
      </w:r>
    </w:p>
    <w:p>
      <w:r>
        <w:rPr>
          <w:rFonts w:ascii="Times New Roman" w:hAnsi="Times New Roman"/>
          <w:sz w:val="28"/>
        </w:rPr>
        <w:t>7. Примеры современной продукции лучших мировых производителей и перспективных разработок в области ВОСП.</w:t>
      </w:r>
    </w:p>
    <w:p>
      <w:r>
        <w:rPr>
          <w:rFonts w:ascii="Times New Roman" w:hAnsi="Times New Roman"/>
          <w:sz w:val="28"/>
        </w:rPr>
        <w:t>8.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 xml:space="preserve">9. Особенности построения и анализа аналоговых ВОСП с частотным разделением каналов. </w:t>
      </w:r>
    </w:p>
    <w:p>
      <w:r>
        <w:rPr>
          <w:rFonts w:ascii="Times New Roman" w:hAnsi="Times New Roman"/>
          <w:sz w:val="28"/>
        </w:rPr>
        <w:t xml:space="preserve">10.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11. Особенности построения и анализа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</w:r>
    </w:p>
    <w:p>
      <w:r>
        <w:rPr>
          <w:rFonts w:ascii="Times New Roman" w:hAnsi="Times New Roman"/>
          <w:sz w:val="28"/>
        </w:rPr>
        <w:t xml:space="preserve">12. Принципы построения, структурная схема, конструктивное исполнение. </w:t>
      </w:r>
    </w:p>
    <w:p>
      <w:r>
        <w:rPr>
          <w:rFonts w:ascii="Times New Roman" w:hAnsi="Times New Roman"/>
          <w:sz w:val="28"/>
        </w:rPr>
        <w:t xml:space="preserve">13.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 xml:space="preserve">14. Системы параметров ОПУ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 xml:space="preserve">15. Схемотехника узлов современного ОПУ различного назначения. Расчет основных характеристик. Методы измерения основных параметров. </w:t>
      </w:r>
    </w:p>
    <w:p>
      <w:r>
        <w:rPr>
          <w:rFonts w:ascii="Times New Roman" w:hAnsi="Times New Roman"/>
          <w:sz w:val="28"/>
        </w:rPr>
        <w:t>16.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17. Особенности построения и анализа ОПУ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 xml:space="preserve">18. Принципы построения, структурная схема, конструктивное исполнение. </w:t>
      </w:r>
    </w:p>
    <w:p>
      <w:r>
        <w:rPr>
          <w:rFonts w:ascii="Times New Roman" w:hAnsi="Times New Roman"/>
          <w:sz w:val="28"/>
        </w:rPr>
        <w:t xml:space="preserve">19. Системы параметров ФПУ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 xml:space="preserve">20.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21. Схемотехника узлов современного ФПУ различного назначения. Расчет основных характеристик. Методы измерения основных параметров.</w:t>
      </w:r>
    </w:p>
    <w:p>
      <w:r>
        <w:rPr>
          <w:rFonts w:ascii="Times New Roman" w:hAnsi="Times New Roman"/>
          <w:sz w:val="28"/>
        </w:rPr>
        <w:t xml:space="preserve">22. Особенности построения и анализа ФПУ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>23. Примеры современной продукции лучших мировых производителей и перспективных разработок.</w:t>
      </w:r>
    </w:p>
    <w:p>
      <w:r>
        <w:rPr>
          <w:rFonts w:ascii="Times New Roman" w:hAnsi="Times New Roman"/>
          <w:sz w:val="28"/>
        </w:rPr>
        <w:t xml:space="preserve">24.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25. Сверхскоростные волоконно-оптические системы, системы с спектральным разделением каналов для транспортных и локальных телекоммуникационных сетей</w:t>
      </w:r>
    </w:p>
    <w:p>
      <w:r>
        <w:rPr>
          <w:rFonts w:ascii="Times New Roman" w:hAnsi="Times New Roman"/>
          <w:sz w:val="28"/>
        </w:rPr>
        <w:t>26. Cистемы волоконно-коаксиальной структуры (HFC) для мультисервисных сетей кабельного телевидения</w:t>
      </w:r>
    </w:p>
    <w:p>
      <w:r>
        <w:rPr>
          <w:rFonts w:ascii="Times New Roman" w:hAnsi="Times New Roman"/>
          <w:sz w:val="28"/>
        </w:rPr>
        <w:t>27.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28. Системы волоконно-эфирной структуры (RoF) для мультисервисных сетей сотовой и персональной связи.</w:t>
      </w:r>
    </w:p>
    <w:p>
      <w:r>
        <w:rPr>
          <w:rFonts w:ascii="Times New Roman" w:hAnsi="Times New Roman"/>
          <w:sz w:val="28"/>
        </w:rPr>
        <w:t>29.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30. Современные и перспективные системы для локальных телекоммуникационных сетей</w:t>
      </w:r>
    </w:p>
    <w:p>
      <w:r>
        <w:rPr>
          <w:rFonts w:ascii="Times New Roman" w:hAnsi="Times New Roman"/>
          <w:sz w:val="28"/>
        </w:rPr>
        <w:t>31.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 xml:space="preserve">32. Основные положения по организации технической эксплуатации транспортной сети. </w:t>
      </w:r>
    </w:p>
    <w:p>
      <w:r>
        <w:rPr>
          <w:rFonts w:ascii="Times New Roman" w:hAnsi="Times New Roman"/>
          <w:sz w:val="28"/>
        </w:rPr>
        <w:t xml:space="preserve">33. Принципы организации систем технической эксплуатации  и управления транспортных  сетей. </w:t>
      </w:r>
    </w:p>
    <w:p>
      <w:r>
        <w:rPr>
          <w:rFonts w:ascii="Times New Roman" w:hAnsi="Times New Roman"/>
          <w:sz w:val="28"/>
        </w:rPr>
        <w:t xml:space="preserve">34. Паспортизация цифровых транспортных систем при вводе в эксплуатацию. </w:t>
      </w:r>
    </w:p>
    <w:p>
      <w:r>
        <w:rPr>
          <w:rFonts w:ascii="Times New Roman" w:hAnsi="Times New Roman"/>
          <w:sz w:val="28"/>
        </w:rPr>
        <w:t>35. Нормирование параметров и классификация оптических стыков.</w:t>
      </w:r>
    </w:p>
    <w:p>
      <w:r>
        <w:rPr>
          <w:rFonts w:ascii="Times New Roman" w:hAnsi="Times New Roman"/>
          <w:sz w:val="28"/>
        </w:rPr>
        <w:t>36.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37.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38.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 xml:space="preserve">39.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40.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41.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42. Матрицы ABCD. Линзовый волновод, лучи в линзоподобной среде, распространение лучей между зеркалами.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 xml:space="preserve">1. Классификация ВОСП по месту применения в телекоммуникационных сетях. </w:t>
      </w:r>
    </w:p>
    <w:p>
      <w:r>
        <w:rPr>
          <w:rFonts w:ascii="Times New Roman" w:hAnsi="Times New Roman"/>
          <w:sz w:val="28"/>
        </w:rPr>
        <w:t xml:space="preserve">2.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3. Обобщенная структурная схема волоконно-оптической системы. </w:t>
      </w:r>
    </w:p>
    <w:p>
      <w:r>
        <w:rPr>
          <w:rFonts w:ascii="Times New Roman" w:hAnsi="Times New Roman"/>
          <w:sz w:val="28"/>
        </w:rPr>
        <w:t xml:space="preserve">4.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 xml:space="preserve">5. Система параметров цифровых и аналоговых ВОСП. </w:t>
      </w:r>
    </w:p>
    <w:p>
      <w:r>
        <w:rPr>
          <w:rFonts w:ascii="Times New Roman" w:hAnsi="Times New Roman"/>
          <w:sz w:val="28"/>
        </w:rPr>
        <w:t xml:space="preserve">6. Современные протоколы сетей с оптическими интерфейсами и телекоммуникационные стандарты для ВОСП. Расчет основных характеристик. </w:t>
      </w:r>
    </w:p>
    <w:p>
      <w:r>
        <w:rPr>
          <w:rFonts w:ascii="Times New Roman" w:hAnsi="Times New Roman"/>
          <w:sz w:val="28"/>
        </w:rPr>
        <w:t>7.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 xml:space="preserve">8. Особенности построения и анализа сверхскоростных цифровых ВОСП с временным разделением каналов. </w:t>
      </w:r>
    </w:p>
    <w:p>
      <w:r>
        <w:rPr>
          <w:rFonts w:ascii="Times New Roman" w:hAnsi="Times New Roman"/>
          <w:sz w:val="28"/>
        </w:rPr>
        <w:t>9.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10. Примеры современной продукции лучших мировых производителей и перспективных разработок в области ВОСП.</w:t>
      </w:r>
    </w:p>
    <w:p>
      <w:r>
        <w:rPr>
          <w:rFonts w:ascii="Times New Roman" w:hAnsi="Times New Roman"/>
          <w:sz w:val="28"/>
        </w:rPr>
        <w:t xml:space="preserve">11. Особенности построения и анализа аналоговых ВОСП с частотным разделением каналов. </w:t>
      </w:r>
    </w:p>
    <w:p>
      <w:r>
        <w:rPr>
          <w:rFonts w:ascii="Times New Roman" w:hAnsi="Times New Roman"/>
          <w:sz w:val="28"/>
        </w:rPr>
        <w:t xml:space="preserve">12. Особенности построения и анализа  многоволновых ВОСП со спектральным разделением каналов. Примеры современной продукции лучших мировых производителей и перспективных разработок.   </w:t>
      </w:r>
    </w:p>
    <w:p>
      <w:r>
        <w:rPr>
          <w:rFonts w:ascii="Times New Roman" w:hAnsi="Times New Roman"/>
          <w:sz w:val="28"/>
        </w:rPr>
        <w:t xml:space="preserve">13.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 xml:space="preserve">14. Принципы построения, структурная схема, конструктивное исполнение. </w:t>
      </w:r>
    </w:p>
    <w:p>
      <w:r>
        <w:rPr>
          <w:rFonts w:ascii="Times New Roman" w:hAnsi="Times New Roman"/>
          <w:sz w:val="28"/>
        </w:rPr>
        <w:t>15.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 xml:space="preserve">16. Системы параметров ОПУ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 xml:space="preserve">17. Схемотехника узлов современного ОПУ различного назначения. Расчет основных характеристик. Методы измерения основных параметров. </w:t>
      </w:r>
    </w:p>
    <w:p>
      <w:r>
        <w:rPr>
          <w:rFonts w:ascii="Times New Roman" w:hAnsi="Times New Roman"/>
          <w:sz w:val="28"/>
        </w:rPr>
        <w:t>18.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 xml:space="preserve">19. Особенности построения и анализа ОПУ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>20.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 xml:space="preserve">21. Принципы построения, структурная схема, конструктивное исполнение. </w:t>
      </w:r>
    </w:p>
    <w:p>
      <w:r>
        <w:rPr>
          <w:rFonts w:ascii="Times New Roman" w:hAnsi="Times New Roman"/>
          <w:sz w:val="28"/>
        </w:rPr>
        <w:t xml:space="preserve">22. Системы параметров ФПУ современных цифровых и аналоговых ВОСП. </w:t>
      </w:r>
    </w:p>
    <w:p>
      <w:r>
        <w:rPr>
          <w:rFonts w:ascii="Times New Roman" w:hAnsi="Times New Roman"/>
          <w:sz w:val="28"/>
        </w:rPr>
        <w:t>23. Схемотехника узлов современного ФПУ различного назначения. Расчет основных характеристик. Методы измерения основных параметров.</w:t>
      </w:r>
    </w:p>
    <w:p>
      <w:r>
        <w:rPr>
          <w:rFonts w:ascii="Times New Roman" w:hAnsi="Times New Roman"/>
          <w:sz w:val="28"/>
        </w:rPr>
        <w:t>24.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 xml:space="preserve">25. Особенности построения и анализа ФПУ для передачи сверхскоростных цифровых сигналов, сверхвысокочастотных аналоговых сигналов и многоволновых сигналов со спектральным разделением каналов. </w:t>
      </w:r>
    </w:p>
    <w:p>
      <w:r>
        <w:rPr>
          <w:rFonts w:ascii="Times New Roman" w:hAnsi="Times New Roman"/>
          <w:sz w:val="28"/>
        </w:rPr>
        <w:t>26.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>27. Примеры современной продукции лучших мировых производителей и перспективных разработок.</w:t>
      </w:r>
    </w:p>
    <w:p>
      <w:r>
        <w:rPr>
          <w:rFonts w:ascii="Times New Roman" w:hAnsi="Times New Roman"/>
          <w:sz w:val="28"/>
        </w:rPr>
        <w:t>28. Сверхскоростные волоконно-оптические системы, системы с спектральным разделением каналов для транспортных и локальных телекоммуникационных сетей</w:t>
      </w:r>
    </w:p>
    <w:p>
      <w:r>
        <w:rPr>
          <w:rFonts w:ascii="Times New Roman" w:hAnsi="Times New Roman"/>
          <w:sz w:val="28"/>
        </w:rPr>
        <w:t>29. Иттербиевые волоконные усилители</w:t>
      </w:r>
    </w:p>
    <w:p>
      <w:r>
        <w:rPr>
          <w:rFonts w:ascii="Times New Roman" w:hAnsi="Times New Roman"/>
          <w:sz w:val="28"/>
        </w:rPr>
        <w:t>30. Cистемы волоконно-коаксиальной структуры (HFC) для мультисервисных сетей кабельного телевидения</w:t>
      </w:r>
    </w:p>
    <w:p>
      <w:r>
        <w:rPr>
          <w:rFonts w:ascii="Times New Roman" w:hAnsi="Times New Roman"/>
          <w:sz w:val="28"/>
        </w:rPr>
        <w:t>31. Системы волоконно-эфирной структуры (RoF) для мультисервисных сетей сотовой и персональной связи.</w:t>
      </w:r>
    </w:p>
    <w:p>
      <w:r>
        <w:rPr>
          <w:rFonts w:ascii="Times New Roman" w:hAnsi="Times New Roman"/>
          <w:sz w:val="28"/>
        </w:rPr>
        <w:t xml:space="preserve">32. Сферические  и  плоские  световые волны. </w:t>
      </w:r>
    </w:p>
    <w:p>
      <w:r>
        <w:rPr>
          <w:rFonts w:ascii="Times New Roman" w:hAnsi="Times New Roman"/>
          <w:sz w:val="28"/>
        </w:rPr>
        <w:t>33. Современные и перспективные системы для локальных телекоммуникационных сетей</w:t>
      </w:r>
    </w:p>
    <w:p>
      <w:r>
        <w:rPr>
          <w:rFonts w:ascii="Times New Roman" w:hAnsi="Times New Roman"/>
          <w:sz w:val="28"/>
        </w:rPr>
        <w:t xml:space="preserve">34. Основные положения по организации технической эксплуатации транспортной сети. </w:t>
      </w:r>
    </w:p>
    <w:p>
      <w:r>
        <w:rPr>
          <w:rFonts w:ascii="Times New Roman" w:hAnsi="Times New Roman"/>
          <w:sz w:val="28"/>
        </w:rPr>
        <w:t xml:space="preserve">35. Представление световых полей комплексными функциями.  </w:t>
      </w:r>
    </w:p>
    <w:p>
      <w:r>
        <w:rPr>
          <w:rFonts w:ascii="Times New Roman" w:hAnsi="Times New Roman"/>
          <w:sz w:val="28"/>
        </w:rPr>
        <w:t xml:space="preserve">36. Принципы организации систем технической эксплуатации  и управления транспортных  сетей. </w:t>
      </w:r>
    </w:p>
    <w:p>
      <w:r>
        <w:rPr>
          <w:rFonts w:ascii="Times New Roman" w:hAnsi="Times New Roman"/>
          <w:sz w:val="28"/>
        </w:rPr>
        <w:t>37. Типы источников излучения в волоконной оптике</w:t>
      </w:r>
    </w:p>
    <w:p>
      <w:r>
        <w:rPr>
          <w:rFonts w:ascii="Times New Roman" w:hAnsi="Times New Roman"/>
          <w:sz w:val="28"/>
        </w:rPr>
        <w:t xml:space="preserve">38. Паспортизация цифровых транспортных систем при вводе в эксплуатацию. </w:t>
      </w:r>
    </w:p>
    <w:p>
      <w:r>
        <w:rPr>
          <w:rFonts w:ascii="Times New Roman" w:hAnsi="Times New Roman"/>
          <w:sz w:val="28"/>
        </w:rPr>
        <w:t>39. Нормирование параметров и классификация оптических стыков.</w:t>
      </w:r>
    </w:p>
    <w:p>
      <w:r>
        <w:rPr>
          <w:rFonts w:ascii="Times New Roman" w:hAnsi="Times New Roman"/>
          <w:sz w:val="28"/>
        </w:rPr>
        <w:t>40. Ввод оптического излучения в волокно. Эффективность ввода.</w:t>
      </w:r>
    </w:p>
    <w:p>
      <w:r>
        <w:rPr>
          <w:rFonts w:ascii="Times New Roman" w:hAnsi="Times New Roman"/>
          <w:sz w:val="28"/>
        </w:rPr>
        <w:t>41. Многомодовое оптическое волокно</w:t>
      </w:r>
    </w:p>
    <w:p>
      <w:r>
        <w:rPr>
          <w:rFonts w:ascii="Times New Roman" w:hAnsi="Times New Roman"/>
          <w:sz w:val="28"/>
        </w:rPr>
        <w:t>42. Одномодовое оптическое волокно</w:t>
      </w:r>
    </w:p>
    <w:p>
      <w:r>
        <w:rPr>
          <w:rFonts w:ascii="Times New Roman" w:hAnsi="Times New Roman"/>
          <w:sz w:val="28"/>
        </w:rPr>
        <w:t xml:space="preserve">43. Двухлучевая интерференция, картина поля интерференции для плоских и сферических волн, пространственный период и контраст. </w:t>
      </w:r>
    </w:p>
    <w:p>
      <w:r>
        <w:rPr>
          <w:rFonts w:ascii="Times New Roman" w:hAnsi="Times New Roman"/>
          <w:sz w:val="28"/>
        </w:rPr>
        <w:t>44. Описание  интерференции в скалярном  приближении и с  учётом  поляризации световых  волн.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