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Цифровая обработка оптических сигналов и изображений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Бузылев Ф.Н.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"Цифровая обработка оптических сигналов и изображений" имеет своей целью способствовать формированию у обучающихся профессиональной (ПК-1)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 "Оптико - электронные информационно - измерительные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"Цифровая обработка оптических сигналов и изображений"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Общая трудоемкость дисциплины составляет 13 зачетные единицы (468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ПК-1 (Способен проводить исследования физических процессов и свойств объектов с выбором технических средств, методов измерений, обработки и представления результатов)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физические процессы и свойства объектов в своей профессиональной деятельности.</w:t>
              <w:br/>
              <w:t>методы проведения исследований физических процессов и свойств объектов с выбором технических средств, методов измерений, обработки и представления результатов.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проводить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      <w:br/>
              <w:t>обрабатывать и анализировать полученные результаты.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способами обработки, анализа, хранения и представления данных экспериментальных исследований.</w:t>
              <w:br/>
              <w:t>методами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34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34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34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34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7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7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252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41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49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41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49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8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экзамен, курс. раб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8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100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468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4,7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67,3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цифрового представления изображений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Считывание и регистрация изображений. Дискретизация и квантование изображений. Линейные и нелинейные преобразования.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Пространственные методы улучшения изображений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градационные преобразования. Видоизменение гистограммы. Улучшение качества изображений на основе арифметико-логических операций. Основы пространственной фильтрации. Сглаживающие пространственные фильтры.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Частотные методы улучшения изображений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Введение в Фурье – анализ. Преобразование Фурье и частотная область. Сглаживающие частотные фильтры. Частотные фильтры повышения резкости. Гомоморфная фильтрация.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Восстановление изображений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Модели шума. Подавление шумов – пространственная фильтрация. Подавление периодического шума – частотная фильтрация. Фильтрация методом минимизации. Инверсная фильтрация. Винеровская фильтрация. Среднегеометрический фильтр. Геометрические преобразования.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Обработка цветных изображений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теории света. Цветовые модели. Обработка изображения в псевдоцветах. Основы обработки цветных изображений. Цветовые преобразования. Сглаживание и повышение резкости. Цветовая сегментация. Шум на цветных изображениях. Сжатие цветных изображений.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Вейвлеты и кратномасштабная обработка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Кратномасштабное разложение. Одномерные вейвлет преобразования. Быстрое вейвлет преобразование. Двумерные вейвлет преобразования. Вейвлет – пакеты.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Сжатие изображений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Модели сжатия изображений. Элементы теории информации. Сжатие без потерь. Сжатие с потерями.  Стандарты сжатия изображений.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Морфологическая обработка изображений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Диалатация и эрозия. Размытие и замыкание. Некоторые основные морфологические алгоритмы.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Считывание и регистрация изображений.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Получение и видоизменение гистограммы изображения.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7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Преобразование Фурье и частотная область. Частотные фильтры.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Модели шума. Подавление шумов методами пространственной и частотной фильтрации.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8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Дискретизация и квантование изображений. Линейные и нелинейные преобразования.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пространственной фильтрации.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Сглаживающие пространственные фильтры.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Сглаживающие частотные фильтры.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7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Частотные фильтры повышения резкости.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Оптические корреляторы; фильтры Ван дер Люгта.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Методы подавления шумов изображения.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Инверсная фильтрация.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8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64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"Цифровая обработка оптических сигналов и изображений",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физические процессы и свойства объектов в своей профессиональной деятельности.</w:t>
              <w:br/>
              <w:t>методы проведения исследований физических процессов и свойств объектов с выбором технических средств, методов измерений, обработки и представления результатов.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проводить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      <w:br/>
              <w:t>обрабатывать и анализировать полученные результаты.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способами обработки, анализа, хранения и представления данных экспериментальных исследований.</w:t>
              <w:br/>
              <w:t>методами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профессиональной (ПК-1)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профессиональной (ПК-1)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профессиональной (ПК-1)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"Цифровая обработка оптических сигналов и изображений"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Курсовая работа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1031FD" w:rsidRDefault="00A62CD7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1031FD" w:rsidRDefault="00024A66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1031FD" w:rsidRDefault="00F0134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 xml:space="preserve">Ответы в устной форме, </w:t>
            </w:r>
            <w:r w:rsidR="00553B43">
              <w:rPr>
                <w:rFonts w:ascii="Times New Roman" w:hAnsi="Times New Roman" w:cs="Times New Roman"/>
                <w:sz w:val="16"/>
              </w:rPr>
              <w:t>текст курсовой работы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A54DCA" w:rsidRDefault="004A1898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"Цифровая обработка оптических сигналов и изображений"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Ландсберг Г.С., Оптика : учебное пособие для вузов. Изд. 7-е, стер.; ФИЗМАТЛИТ 2017, 848 с.</w:t>
      </w:r>
    </w:p>
    <w:p>
      <w:r>
        <w:rPr>
          <w:rFonts w:ascii="Times New Roman" w:hAnsi="Times New Roman"/>
          <w:sz w:val="28"/>
        </w:rPr>
        <w:t>2. Русинов, М. М. Техническая оптика : учебное пособие; КД Либроком, 2017 488 c.</w:t>
      </w:r>
    </w:p>
    <w:p>
      <w:r>
        <w:rPr>
          <w:rFonts w:ascii="Times New Roman" w:hAnsi="Times New Roman"/>
          <w:sz w:val="28"/>
        </w:rPr>
        <w:t>3. Марченко О.М. Гауссов свет; Лань 2016, 1-е изд.</w:t>
      </w:r>
    </w:p>
    <w:p>
      <w:r>
        <w:rPr>
          <w:rFonts w:ascii="Times New Roman" w:hAnsi="Times New Roman"/>
          <w:sz w:val="28"/>
        </w:rPr>
        <w:t>4. Борейшо, А.С. Лазеры: устройство и действие : учебное пособие / А.С. Борейшо, С.В. Ивакин. — 2-е изд., стер. — Санкт-Петербург : Лань, 2017. — 304 с. — ISBN 978-5-8114-2088-9. — Текст : электронный // Электронно-библиотечная система «Лань» : [сайт]. — URL: https://e.lanbook.com/book/93585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Смоленцев Н.К. Вейвлет-анализ в MATLAB / Н. К. Смоленцев. - М.: ДМК Пресс, 2010. - 448 с.: ил. - Библиогр.: с. 446-448</w:t>
      </w:r>
    </w:p>
    <w:p>
      <w:r>
        <w:rPr>
          <w:rFonts w:ascii="Times New Roman" w:hAnsi="Times New Roman"/>
          <w:sz w:val="28"/>
        </w:rPr>
        <w:t>2. Гонсалес Р.С. Цифровая обработка изображений в среде MATLAB: Пер. с англ. / Р. Гонсалес, Р. Е. Вудс, С. Л. Эддинс. — М.: Техносфера, 2006. — 616 с.: ил. — (Мир цифровой обработки). — Библиогр.: с. 614-615</w:t>
      </w:r>
    </w:p>
    <w:p>
      <w:r>
        <w:rPr>
          <w:rFonts w:ascii="Times New Roman" w:hAnsi="Times New Roman"/>
          <w:sz w:val="28"/>
        </w:rPr>
        <w:t>3. Алексеев Е. Р. Scilab. Решение инженерных и математических задач / Е. Р. Алексеев, О. В. Чеснокова, Е. А. Рудченко. — М.: ALT Linux, 2008. — 259 с.: ил. — (Библиотека ALT Linux). — Библиогр.: с. 258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"Цифровая обработка оптических сигналов и изображений"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"Цифровая обработка оптических сигналов и изображений"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"Цифровая обработка оптических сигналов и изображений"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"Цифровая обработка оптических сигналов и изображений" имеет своей целью способствовать формированию у обучающихся профессиональной (ПК-1)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основные физические процессы и свойства объектов в своей профессиональной деятельности.</w:t>
        <w:br/>
        <w:t>методы проведения исследований физических процессов и свойств объектов с выбором технических средств, методов измерений, обработки и представления результатов. (ПК-1)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проводить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<w:br/>
        <w:t>обрабатывать и анализировать полученные результаты. (ПК-1)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способами обработки, анализа, хранения и представления данных экспериментальных исследований.</w:t>
        <w:br/>
        <w:t>методами исследования физических процессов и свойств объектов с выбором технических средств, методов измерений, обработки и представления результатов. (ПК-1)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"Цифровая обработка оптических сигналов и изображений"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13 зачетные единицы (468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"Цифровая обработка оптических сигналов и изображений"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профессиональной (ПК-1)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