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9DA0D" w14:textId="77777777" w:rsidR="00466451" w:rsidRDefault="00466451" w:rsidP="00466451">
      <w:pPr>
        <w:spacing w:after="0" w:line="480" w:lineRule="auto"/>
        <w:jc w:val="center"/>
        <w:rPr>
          <w:rFonts w:ascii="Times New Roman" w:hAnsi="Times New Roman" w:cs="Times New Roman"/>
          <w:b/>
          <w:bCs/>
          <w:color w:val="0E101A"/>
        </w:rPr>
      </w:pPr>
    </w:p>
    <w:p w14:paraId="11687C3A" w14:textId="77777777" w:rsidR="00466451" w:rsidRDefault="00466451" w:rsidP="00466451">
      <w:pPr>
        <w:spacing w:after="0" w:line="480" w:lineRule="auto"/>
        <w:jc w:val="center"/>
        <w:rPr>
          <w:rFonts w:ascii="Times New Roman" w:hAnsi="Times New Roman" w:cs="Times New Roman"/>
          <w:b/>
          <w:bCs/>
          <w:color w:val="0E101A"/>
        </w:rPr>
      </w:pPr>
    </w:p>
    <w:p w14:paraId="71A7D8C7" w14:textId="77777777" w:rsidR="00466451" w:rsidRDefault="00466451" w:rsidP="00466451">
      <w:pPr>
        <w:spacing w:after="0" w:line="480" w:lineRule="auto"/>
        <w:jc w:val="center"/>
        <w:rPr>
          <w:rFonts w:ascii="Times New Roman" w:hAnsi="Times New Roman" w:cs="Times New Roman"/>
          <w:b/>
          <w:bCs/>
          <w:color w:val="0E101A"/>
        </w:rPr>
      </w:pPr>
    </w:p>
    <w:p w14:paraId="2362C42A" w14:textId="77777777" w:rsidR="00466451" w:rsidRDefault="00466451" w:rsidP="00466451">
      <w:pPr>
        <w:spacing w:after="0" w:line="480" w:lineRule="auto"/>
        <w:jc w:val="center"/>
        <w:rPr>
          <w:rFonts w:ascii="Times New Roman" w:hAnsi="Times New Roman" w:cs="Times New Roman"/>
          <w:b/>
          <w:bCs/>
          <w:color w:val="0E101A"/>
        </w:rPr>
      </w:pPr>
    </w:p>
    <w:p w14:paraId="324544FF" w14:textId="77777777" w:rsidR="00466451" w:rsidRDefault="00466451" w:rsidP="00466451">
      <w:pPr>
        <w:spacing w:after="0" w:line="480" w:lineRule="auto"/>
        <w:jc w:val="center"/>
        <w:rPr>
          <w:rFonts w:ascii="Times New Roman" w:hAnsi="Times New Roman" w:cs="Times New Roman"/>
          <w:b/>
          <w:bCs/>
          <w:color w:val="0E101A"/>
        </w:rPr>
      </w:pPr>
    </w:p>
    <w:p w14:paraId="65DC4DEF" w14:textId="77777777" w:rsidR="00466451" w:rsidRDefault="00466451" w:rsidP="00466451">
      <w:pPr>
        <w:spacing w:after="0" w:line="480" w:lineRule="auto"/>
        <w:jc w:val="center"/>
        <w:rPr>
          <w:rFonts w:ascii="Times New Roman" w:hAnsi="Times New Roman" w:cs="Times New Roman"/>
          <w:b/>
          <w:bCs/>
          <w:color w:val="0E101A"/>
        </w:rPr>
      </w:pPr>
    </w:p>
    <w:p w14:paraId="2811F2F2" w14:textId="2674B1F8" w:rsidR="00466451" w:rsidRDefault="00466451" w:rsidP="00466451">
      <w:pPr>
        <w:spacing w:after="0" w:line="480" w:lineRule="auto"/>
        <w:jc w:val="center"/>
        <w:rPr>
          <w:rFonts w:ascii="Times New Roman" w:hAnsi="Times New Roman" w:cs="Times New Roman"/>
          <w:color w:val="0E101A"/>
        </w:rPr>
      </w:pPr>
      <w:r w:rsidRPr="00466451">
        <w:rPr>
          <w:rFonts w:ascii="Times New Roman" w:hAnsi="Times New Roman" w:cs="Times New Roman"/>
          <w:b/>
          <w:bCs/>
          <w:color w:val="0E101A"/>
        </w:rPr>
        <w:t>A Maturity-Based Self-Assessment Model for Operationalizing the NIST Cybersecurity Framework in Mid-Sized Organizations</w:t>
      </w:r>
    </w:p>
    <w:p w14:paraId="2060B28D" w14:textId="77777777" w:rsidR="00466451" w:rsidRDefault="00466451" w:rsidP="00466451">
      <w:pPr>
        <w:spacing w:after="0" w:line="480" w:lineRule="auto"/>
        <w:jc w:val="center"/>
        <w:rPr>
          <w:rFonts w:ascii="Times New Roman" w:hAnsi="Times New Roman" w:cs="Times New Roman"/>
          <w:color w:val="0E101A"/>
        </w:rPr>
      </w:pPr>
    </w:p>
    <w:p w14:paraId="1A25605B" w14:textId="0283CB93" w:rsidR="00466451" w:rsidRDefault="004C2EC4" w:rsidP="00466451">
      <w:pPr>
        <w:spacing w:after="0" w:line="480" w:lineRule="auto"/>
        <w:jc w:val="center"/>
        <w:rPr>
          <w:rFonts w:ascii="Times New Roman" w:hAnsi="Times New Roman" w:cs="Times New Roman"/>
          <w:color w:val="0E101A"/>
        </w:rPr>
      </w:pPr>
      <w:r>
        <w:rPr>
          <w:rFonts w:ascii="Times New Roman" w:hAnsi="Times New Roman" w:cs="Times New Roman"/>
          <w:color w:val="0E101A"/>
        </w:rPr>
        <w:t>Ezra Shuremu</w:t>
      </w:r>
    </w:p>
    <w:p w14:paraId="272C9664" w14:textId="1CAAE40E" w:rsidR="004C2EC4" w:rsidRDefault="00466451" w:rsidP="004C2EC4">
      <w:pPr>
        <w:spacing w:after="0" w:line="480" w:lineRule="auto"/>
        <w:jc w:val="center"/>
        <w:rPr>
          <w:rFonts w:ascii="Times New Roman" w:hAnsi="Times New Roman" w:cs="Times New Roman"/>
          <w:color w:val="0E101A"/>
        </w:rPr>
      </w:pPr>
      <w:r w:rsidRPr="00466451">
        <w:rPr>
          <w:rFonts w:ascii="Times New Roman" w:hAnsi="Times New Roman" w:cs="Times New Roman"/>
          <w:color w:val="0E101A"/>
        </w:rPr>
        <w:t>Bellevue University</w:t>
      </w:r>
      <w:r w:rsidRPr="00466451">
        <w:rPr>
          <w:rFonts w:ascii="Times New Roman" w:hAnsi="Times New Roman" w:cs="Times New Roman"/>
          <w:color w:val="0E101A"/>
        </w:rPr>
        <w:br/>
        <w:t>CYBR650 Current Trends in Cybersecurity</w:t>
      </w:r>
      <w:r w:rsidRPr="00466451">
        <w:rPr>
          <w:rFonts w:ascii="Times New Roman" w:hAnsi="Times New Roman" w:cs="Times New Roman"/>
          <w:color w:val="0E101A"/>
        </w:rPr>
        <w:br/>
        <w:t>Dr</w:t>
      </w:r>
      <w:r>
        <w:rPr>
          <w:rFonts w:ascii="Times New Roman" w:hAnsi="Times New Roman" w:cs="Times New Roman"/>
          <w:color w:val="0E101A"/>
        </w:rPr>
        <w:t>.</w:t>
      </w:r>
      <w:r w:rsidRPr="00466451">
        <w:rPr>
          <w:rFonts w:ascii="Times New Roman" w:hAnsi="Times New Roman" w:cs="Times New Roman"/>
          <w:color w:val="0E101A"/>
        </w:rPr>
        <w:t xml:space="preserve"> Lisa McKe</w:t>
      </w:r>
      <w:r w:rsidR="009352FF">
        <w:rPr>
          <w:rFonts w:ascii="Times New Roman" w:hAnsi="Times New Roman" w:cs="Times New Roman"/>
          <w:color w:val="0E101A"/>
        </w:rPr>
        <w:t>e</w:t>
      </w:r>
    </w:p>
    <w:p w14:paraId="5D7D4F0D" w14:textId="1B186600" w:rsidR="00466451" w:rsidRPr="004C2EC4" w:rsidRDefault="009352FF" w:rsidP="00F16A18">
      <w:pPr>
        <w:spacing w:after="0" w:line="480" w:lineRule="auto"/>
        <w:rPr>
          <w:rFonts w:ascii="Times New Roman" w:hAnsi="Times New Roman" w:cs="Times New Roman"/>
          <w:color w:val="0E101A"/>
        </w:rPr>
      </w:pPr>
      <w:r>
        <w:rPr>
          <w:rFonts w:ascii="Times New Roman" w:hAnsi="Times New Roman" w:cs="Times New Roman"/>
          <w:color w:val="0E101A"/>
        </w:rPr>
        <w:t xml:space="preserve">                                                                     </w:t>
      </w:r>
      <w:r w:rsidR="004C2EC4">
        <w:rPr>
          <w:rFonts w:ascii="Times New Roman" w:hAnsi="Times New Roman" w:cs="Times New Roman"/>
          <w:color w:val="0E101A"/>
        </w:rPr>
        <w:t>02/13/2026</w:t>
      </w:r>
      <w:r w:rsidR="00466451" w:rsidRPr="00466451">
        <w:rPr>
          <w:rFonts w:ascii="Times New Roman" w:hAnsi="Times New Roman" w:cs="Times New Roman"/>
          <w:color w:val="0E101A"/>
        </w:rPr>
        <w:br w:type="page"/>
      </w:r>
    </w:p>
    <w:p w14:paraId="0A0D44AA" w14:textId="77777777" w:rsidR="00466451" w:rsidRDefault="00466451" w:rsidP="00466451">
      <w:pPr>
        <w:pStyle w:val="NormalWeb"/>
        <w:spacing w:before="0" w:beforeAutospacing="0" w:after="0" w:afterAutospacing="0" w:line="480" w:lineRule="auto"/>
        <w:jc w:val="center"/>
        <w:rPr>
          <w:b/>
          <w:bCs/>
          <w:color w:val="0E101A"/>
        </w:rPr>
      </w:pPr>
      <w:r w:rsidRPr="00466451">
        <w:rPr>
          <w:b/>
          <w:bCs/>
          <w:color w:val="0E101A"/>
        </w:rPr>
        <w:lastRenderedPageBreak/>
        <w:t>A Maturity-Based Self-Assessment Model for Operationalizing the NIST Cybersecurity Framework in Mid-Sized Organizations</w:t>
      </w:r>
    </w:p>
    <w:p w14:paraId="041C69BE" w14:textId="77777777" w:rsidR="006B0BD9" w:rsidRDefault="006B0BD9" w:rsidP="004C2EC4">
      <w:pPr>
        <w:pStyle w:val="NormalWeb"/>
        <w:spacing w:before="0" w:beforeAutospacing="0" w:after="0" w:afterAutospacing="0" w:line="480" w:lineRule="auto"/>
        <w:ind w:firstLine="720"/>
        <w:rPr>
          <w:rFonts w:ascii="Arial" w:hAnsi="Arial" w:cs="Arial"/>
        </w:rPr>
      </w:pPr>
      <w:r w:rsidRPr="006B0BD9">
        <w:rPr>
          <w:rFonts w:ascii="Arial" w:hAnsi="Arial" w:cs="Arial"/>
        </w:rPr>
        <w:t>The purpose of this capstone is to design and describe a NIST CSF-aligned, maturity-based self-assessment model that mid-sized organizations can use to evaluate current capability, prioritize improvements, and track cybersecurity maturity over time (NIST, 2024; U.S. Cybersecurity and Infrastructure Security Agency, 2023).</w:t>
      </w:r>
      <w:r w:rsidRPr="006B0BD9">
        <w:rPr>
          <w:rFonts w:ascii="Arial" w:hAnsi="Arial" w:cs="Arial"/>
        </w:rPr>
        <w:t xml:space="preserve"> </w:t>
      </w:r>
    </w:p>
    <w:p w14:paraId="2F307068" w14:textId="3615F9C9" w:rsidR="00B240B3" w:rsidRDefault="00B240B3" w:rsidP="004C2EC4">
      <w:pPr>
        <w:pStyle w:val="NormalWeb"/>
        <w:spacing w:before="0" w:beforeAutospacing="0" w:after="0" w:afterAutospacing="0" w:line="480" w:lineRule="auto"/>
        <w:ind w:firstLine="720"/>
        <w:rPr>
          <w:rFonts w:ascii="Georgia" w:hAnsi="Georgia"/>
        </w:rPr>
      </w:pPr>
      <w:r w:rsidRPr="00B84992">
        <w:rPr>
          <w:rFonts w:ascii="Arial" w:hAnsi="Arial" w:cs="Arial"/>
        </w:rPr>
        <w:t>This capstone argues that a maturity</w:t>
      </w:r>
      <w:r w:rsidRPr="00B84992">
        <w:rPr>
          <w:rFonts w:ascii="Arial" w:hAnsi="Arial" w:cs="Arial"/>
        </w:rPr>
        <w:noBreakHyphen/>
        <w:t>based self</w:t>
      </w:r>
      <w:r w:rsidRPr="00B84992">
        <w:rPr>
          <w:rFonts w:ascii="Arial" w:hAnsi="Arial" w:cs="Arial"/>
        </w:rPr>
        <w:noBreakHyphen/>
        <w:t>assessment model aligned with the NIST Cybersecurity Framework enables mid</w:t>
      </w:r>
      <w:r w:rsidRPr="00B84992">
        <w:rPr>
          <w:rFonts w:ascii="Arial" w:hAnsi="Arial" w:cs="Arial"/>
        </w:rPr>
        <w:noBreakHyphen/>
        <w:t>sized organizations to operationalize CSF outcomes more effectively by translating them into measurable capability levels, supporting repeatable self</w:t>
      </w:r>
      <w:r w:rsidRPr="00B84992">
        <w:rPr>
          <w:rFonts w:ascii="Arial" w:hAnsi="Arial" w:cs="Arial"/>
        </w:rPr>
        <w:noBreakHyphen/>
        <w:t>assessment, and informing</w:t>
      </w:r>
      <w:r>
        <w:rPr>
          <w:rFonts w:ascii="Georgia" w:hAnsi="Georgia"/>
        </w:rPr>
        <w:t xml:space="preserve"> risk</w:t>
      </w:r>
      <w:r>
        <w:rPr>
          <w:rFonts w:ascii="Georgia" w:hAnsi="Georgia"/>
        </w:rPr>
        <w:noBreakHyphen/>
        <w:t>based prioritization of cybersecurity investments.</w:t>
      </w:r>
    </w:p>
    <w:p w14:paraId="19D6DF89" w14:textId="7C7DF7C1" w:rsidR="00B240B3" w:rsidRPr="00B84992" w:rsidRDefault="00B240B3" w:rsidP="004C2EC4">
      <w:pPr>
        <w:pStyle w:val="NormalWeb"/>
        <w:spacing w:before="0" w:beforeAutospacing="0" w:after="0" w:afterAutospacing="0" w:line="480" w:lineRule="auto"/>
        <w:ind w:firstLine="720"/>
        <w:rPr>
          <w:rFonts w:ascii="Arial" w:hAnsi="Arial" w:cs="Arial"/>
          <w:color w:val="0E101A"/>
        </w:rPr>
      </w:pPr>
      <w:r w:rsidRPr="00B84992">
        <w:rPr>
          <w:rFonts w:ascii="Arial" w:hAnsi="Arial" w:cs="Arial"/>
        </w:rPr>
        <w:t>Many themes emphasized in graduate</w:t>
      </w:r>
      <w:r w:rsidRPr="00B84992">
        <w:rPr>
          <w:rFonts w:ascii="Arial" w:hAnsi="Arial" w:cs="Arial"/>
        </w:rPr>
        <w:noBreakHyphen/>
        <w:t>level cybersecurity education</w:t>
      </w:r>
      <w:r w:rsidR="00B84992">
        <w:rPr>
          <w:rFonts w:ascii="Arial" w:hAnsi="Arial" w:cs="Arial"/>
        </w:rPr>
        <w:t xml:space="preserve">, </w:t>
      </w:r>
      <w:r w:rsidRPr="00B84992">
        <w:rPr>
          <w:rFonts w:ascii="Arial" w:hAnsi="Arial" w:cs="Arial"/>
        </w:rPr>
        <w:t>such as risk</w:t>
      </w:r>
      <w:r w:rsidRPr="00B84992">
        <w:rPr>
          <w:rFonts w:ascii="Arial" w:hAnsi="Arial" w:cs="Arial"/>
        </w:rPr>
        <w:noBreakHyphen/>
        <w:t>based control selection, governance integration, and metrics</w:t>
      </w:r>
      <w:r w:rsidRPr="00B84992">
        <w:rPr>
          <w:rFonts w:ascii="Arial" w:hAnsi="Arial" w:cs="Arial"/>
        </w:rPr>
        <w:noBreakHyphen/>
        <w:t>driven program management</w:t>
      </w:r>
      <w:r w:rsidR="00B84992">
        <w:rPr>
          <w:rFonts w:ascii="Arial" w:hAnsi="Arial" w:cs="Arial"/>
        </w:rPr>
        <w:t xml:space="preserve">, </w:t>
      </w:r>
      <w:r w:rsidRPr="00B84992">
        <w:rPr>
          <w:rFonts w:ascii="Arial" w:hAnsi="Arial" w:cs="Arial"/>
        </w:rPr>
        <w:t>assume that organizations can measure capability consistently over time. Mid</w:t>
      </w:r>
      <w:r w:rsidRPr="00B84992">
        <w:rPr>
          <w:rFonts w:ascii="Arial" w:hAnsi="Arial" w:cs="Arial"/>
        </w:rPr>
        <w:noBreakHyphen/>
        <w:t xml:space="preserve">sized organizations often lack the resources to adopt heavyweight models </w:t>
      </w:r>
      <w:proofErr w:type="gramStart"/>
      <w:r w:rsidRPr="00B84992">
        <w:rPr>
          <w:rFonts w:ascii="Arial" w:hAnsi="Arial" w:cs="Arial"/>
        </w:rPr>
        <w:t>like</w:t>
      </w:r>
      <w:r w:rsidR="00F43E08">
        <w:rPr>
          <w:rFonts w:ascii="Arial" w:hAnsi="Arial" w:cs="Arial"/>
        </w:rPr>
        <w:t xml:space="preserve"> </w:t>
      </w:r>
      <w:r w:rsidRPr="00B84992">
        <w:rPr>
          <w:rFonts w:ascii="Arial" w:hAnsi="Arial" w:cs="Arial"/>
        </w:rPr>
        <w:t xml:space="preserve"> </w:t>
      </w:r>
      <w:r w:rsidR="00F43E08">
        <w:rPr>
          <w:rFonts w:ascii="Arial" w:hAnsi="Arial" w:cs="Arial"/>
        </w:rPr>
        <w:t>Capability</w:t>
      </w:r>
      <w:proofErr w:type="gramEnd"/>
      <w:r w:rsidR="00F43E08">
        <w:rPr>
          <w:rFonts w:ascii="Arial" w:hAnsi="Arial" w:cs="Arial"/>
        </w:rPr>
        <w:t xml:space="preserve"> Maturity Model Integration, </w:t>
      </w:r>
      <w:r w:rsidRPr="00B84992">
        <w:rPr>
          <w:rFonts w:ascii="Arial" w:hAnsi="Arial" w:cs="Arial"/>
        </w:rPr>
        <w:t>CMMI or ISO/IEC 27001 certification, yet still face expectations for structured, defensible assessment. The proposed model applies these educational concepts in a practical context by offering a tailored, CSF</w:t>
      </w:r>
      <w:r w:rsidRPr="00B84992">
        <w:rPr>
          <w:rFonts w:ascii="Arial" w:hAnsi="Arial" w:cs="Arial"/>
        </w:rPr>
        <w:noBreakHyphen/>
        <w:t>aligned maturity assessment that mid</w:t>
      </w:r>
      <w:r w:rsidRPr="00B84992">
        <w:rPr>
          <w:rFonts w:ascii="Arial" w:hAnsi="Arial" w:cs="Arial"/>
        </w:rPr>
        <w:noBreakHyphen/>
        <w:t>sized organizations can perform without external certification.</w:t>
      </w:r>
    </w:p>
    <w:p w14:paraId="72927CBD" w14:textId="2792360E" w:rsidR="004C2EC4" w:rsidRPr="00B84992" w:rsidRDefault="0073134A" w:rsidP="004C2EC4">
      <w:pPr>
        <w:pStyle w:val="NormalWeb"/>
        <w:spacing w:before="0" w:beforeAutospacing="0" w:after="0" w:afterAutospacing="0" w:line="480" w:lineRule="auto"/>
        <w:ind w:firstLine="720"/>
        <w:rPr>
          <w:rFonts w:ascii="Arial" w:hAnsi="Arial" w:cs="Arial"/>
          <w:color w:val="0E101A"/>
        </w:rPr>
      </w:pPr>
      <w:r w:rsidRPr="00B84992">
        <w:rPr>
          <w:rFonts w:ascii="Arial" w:hAnsi="Arial" w:cs="Arial"/>
          <w:color w:val="0E101A"/>
        </w:rPr>
        <w:t>Cybersecurity has become a defining enterprise risk as digital transformation, cloud adoption, third-party integration, and remote work expand organizational attack surfaces.</w:t>
      </w:r>
    </w:p>
    <w:p w14:paraId="03A76CD3" w14:textId="3F3515CF" w:rsidR="0073134A" w:rsidRDefault="0073134A" w:rsidP="004C2EC4">
      <w:pPr>
        <w:pStyle w:val="NormalWeb"/>
        <w:spacing w:before="0" w:beforeAutospacing="0" w:after="0" w:afterAutospacing="0" w:line="480" w:lineRule="auto"/>
        <w:rPr>
          <w:color w:val="0E101A"/>
        </w:rPr>
      </w:pPr>
      <w:r>
        <w:rPr>
          <w:color w:val="0E101A"/>
        </w:rPr>
        <w:lastRenderedPageBreak/>
        <w:t xml:space="preserve"> </w:t>
      </w:r>
      <w:r w:rsidR="004C2EC4">
        <w:rPr>
          <w:color w:val="0E101A"/>
        </w:rPr>
        <w:t>M</w:t>
      </w:r>
      <w:r>
        <w:rPr>
          <w:color w:val="0E101A"/>
        </w:rPr>
        <w:t>id-sized organizations are disproportionately exposed because they often operate complex IT environments and manage sensitive data while maintaining lean staffing, limited budgets, and less formalized governance structures than large enterprises (Renaud et al., 2024). As a result, cybersecurity decision-making in mid-sized environments is frequently reactive, driven by compliance deadlines or incidents rather than consistent risk measurement and long-term capability building (Whitman &amp; Mattord, 2022). Many concepts emphasized in graduate cybersecurity programs, such as risk-based control selection, governance integration, and standards-based architectures, highlight the need for structured, repeatable approaches that mid-sized organizations can realistically adopt</w:t>
      </w:r>
      <w:r w:rsidRPr="004F12FA">
        <w:rPr>
          <w:color w:val="0E101A"/>
        </w:rPr>
        <w:t>. This paper argues that a maturity-based self-assessment model aligned with the NIST Cybersecurity Framework enables such organizations</w:t>
      </w:r>
      <w:r>
        <w:rPr>
          <w:color w:val="0E101A"/>
        </w:rPr>
        <w:t xml:space="preserve"> to operationalize CSF outcomes more effectively by translating framework categories into measurable capability levels, supporting repeatable self-assessment, improving risk-based prioritization of cybersecurity investments, and enabling governance-level visibility into cybersecurity maturity and progress over time.</w:t>
      </w:r>
    </w:p>
    <w:p w14:paraId="49069E50" w14:textId="541D8FE7" w:rsidR="0073134A" w:rsidRDefault="0073134A" w:rsidP="00466451">
      <w:pPr>
        <w:pStyle w:val="NormalWeb"/>
        <w:spacing w:before="0" w:beforeAutospacing="0" w:after="0" w:afterAutospacing="0" w:line="480" w:lineRule="auto"/>
        <w:ind w:firstLine="720"/>
        <w:rPr>
          <w:color w:val="0E101A"/>
        </w:rPr>
      </w:pPr>
      <w:r>
        <w:rPr>
          <w:color w:val="0E101A"/>
        </w:rPr>
        <w:t xml:space="preserve">Mid-sized organizations increasingly rely on NIST CSF to manage cybersecurity risk, but the framework's non-prescriptive design limits its effectiveness as an operational assessment and maturity measurement tool. While CSF defines desired outcomes, it does not provide standardized mechanisms for evaluating capability levels, measuring progress over time, or prioritizing improvements under resource constraints (NIST, 2024). Consequently, many mid-sized organizations struggle to translate CSF adoption into consistent, defensible assessments of cybersecurity maturity that support executive reporting and external oversight. This measurement gap weakens risk-informed decision-making and complicates the ability to demonstrate readiness to regulators, customers, and supply-chain </w:t>
      </w:r>
      <w:r w:rsidRPr="004F12FA">
        <w:rPr>
          <w:color w:val="0E101A"/>
        </w:rPr>
        <w:t xml:space="preserve">partners. </w:t>
      </w:r>
    </w:p>
    <w:p w14:paraId="1DF43DBA" w14:textId="5630C40E" w:rsidR="0073134A" w:rsidRDefault="0073134A" w:rsidP="00C97E22">
      <w:pPr>
        <w:pStyle w:val="NormalWeb"/>
        <w:spacing w:before="0" w:beforeAutospacing="0" w:after="0" w:afterAutospacing="0" w:line="480" w:lineRule="auto"/>
        <w:ind w:firstLine="720"/>
        <w:rPr>
          <w:color w:val="0E101A"/>
        </w:rPr>
      </w:pPr>
      <w:r w:rsidRPr="00DD5DB6">
        <w:rPr>
          <w:color w:val="0E101A"/>
        </w:rPr>
        <w:lastRenderedPageBreak/>
        <w:t>Th</w:t>
      </w:r>
      <w:r w:rsidR="00DD5DB6" w:rsidRPr="00DD5DB6">
        <w:rPr>
          <w:color w:val="0E101A"/>
        </w:rPr>
        <w:t>e</w:t>
      </w:r>
      <w:r w:rsidR="00DD5DB6">
        <w:rPr>
          <w:color w:val="0E101A"/>
        </w:rPr>
        <w:t xml:space="preserve"> study by National Institute of Standards and Technology (2024)</w:t>
      </w:r>
      <w:r>
        <w:rPr>
          <w:color w:val="0E101A"/>
        </w:rPr>
        <w:t xml:space="preserve"> examines how a maturity-based self-assessment model can enhance CSF's operational value without undermining its flexibility. CSF encourages organizations to define current and target profiles, but it does not specify maturity levels, scoring methods, or structured improvement sequencing (NIST, 2024). In practice, organizations often rely on informal self-assessments, external consultants, or proprietary tools, which can lead to inconsistent measurement and limited comparability. Prior research on maturity models suggests that staged capability definitions and repeatable criteria support incremental improvement, governance alignment, and more transparent communication with stakeholders (de Bruin et al., 2005; Becker et al., 2009). Building on these insights, this paper demonstrates that a CSF-aligned, maturity-based self-assessment model can help mid-sized organizations translate CSF outcomes into measurable capability levels, prioritize improvements by risk, and track progress consistently over time.</w:t>
      </w:r>
    </w:p>
    <w:p w14:paraId="3DF0DA2B" w14:textId="77777777" w:rsidR="0073134A" w:rsidRDefault="0073134A" w:rsidP="00C97E22">
      <w:pPr>
        <w:pStyle w:val="NormalWeb"/>
        <w:spacing w:before="0" w:beforeAutospacing="0" w:after="0" w:afterAutospacing="0" w:line="480" w:lineRule="auto"/>
        <w:ind w:firstLine="720"/>
        <w:rPr>
          <w:color w:val="0E101A"/>
        </w:rPr>
      </w:pPr>
      <w:r>
        <w:rPr>
          <w:color w:val="0E101A"/>
        </w:rPr>
        <w:t>The remainder of the paper is organized into four major sections. The following section reviews literature on cybersecurity frameworks, maturity models, and measurement challenges with a specific focus on mid-sized organizations. A subsequent section analyzes NIST CSF 2.0, emphasizing its treatment of governance and identifying operational gaps that limit its use as a maturity measurement tool. The following section presents the proposed self-assessment model, including its development approach, design principles, maturity levels, scoring rubric, and improvement roadmap. The final section discusses practical implications for cybersecurity program management, outlines limitations of the conceptual model, and offers recommendations for future research and implementation.</w:t>
      </w:r>
    </w:p>
    <w:p w14:paraId="77D0EE96" w14:textId="77777777" w:rsidR="00B84992" w:rsidRDefault="00B84992" w:rsidP="0073134A">
      <w:pPr>
        <w:pStyle w:val="NormalWeb"/>
        <w:spacing w:before="0" w:beforeAutospacing="0" w:after="0" w:afterAutospacing="0" w:line="480" w:lineRule="auto"/>
        <w:rPr>
          <w:b/>
          <w:bCs/>
          <w:color w:val="0E101A"/>
        </w:rPr>
      </w:pPr>
    </w:p>
    <w:p w14:paraId="207DE9EF" w14:textId="77777777" w:rsidR="00D414D9" w:rsidRDefault="00D414D9" w:rsidP="0073134A">
      <w:pPr>
        <w:pStyle w:val="NormalWeb"/>
        <w:spacing w:before="0" w:beforeAutospacing="0" w:after="0" w:afterAutospacing="0" w:line="480" w:lineRule="auto"/>
        <w:rPr>
          <w:rFonts w:ascii="Courier New" w:hAnsi="Courier New" w:cs="Courier New"/>
          <w:color w:val="4D4D4C"/>
          <w:sz w:val="21"/>
          <w:szCs w:val="21"/>
        </w:rPr>
      </w:pPr>
    </w:p>
    <w:p w14:paraId="01BD97C8" w14:textId="77777777" w:rsidR="00D414D9" w:rsidRDefault="00D414D9" w:rsidP="0073134A">
      <w:pPr>
        <w:pStyle w:val="NormalWeb"/>
        <w:spacing w:before="0" w:beforeAutospacing="0" w:after="0" w:afterAutospacing="0" w:line="480" w:lineRule="auto"/>
        <w:rPr>
          <w:rFonts w:ascii="Courier New" w:hAnsi="Courier New" w:cs="Courier New"/>
          <w:color w:val="4D4D4C"/>
          <w:sz w:val="21"/>
          <w:szCs w:val="21"/>
        </w:rPr>
      </w:pPr>
    </w:p>
    <w:p w14:paraId="11340435" w14:textId="198440FB" w:rsidR="00B84992" w:rsidRPr="00D414D9" w:rsidRDefault="00D414D9" w:rsidP="0073134A">
      <w:pPr>
        <w:pStyle w:val="NormalWeb"/>
        <w:spacing w:before="0" w:beforeAutospacing="0" w:after="0" w:afterAutospacing="0" w:line="480" w:lineRule="auto"/>
        <w:rPr>
          <w:b/>
          <w:bCs/>
          <w:color w:val="0E101A"/>
        </w:rPr>
      </w:pPr>
      <w:r w:rsidRPr="00D414D9">
        <w:rPr>
          <w:b/>
          <w:bCs/>
          <w:color w:val="0E101A"/>
        </w:rPr>
        <w:lastRenderedPageBreak/>
        <w:t>Foundations and Context</w:t>
      </w:r>
    </w:p>
    <w:p w14:paraId="66335657" w14:textId="77777777" w:rsidR="0073134A" w:rsidRDefault="0073134A" w:rsidP="00C97E22">
      <w:pPr>
        <w:pStyle w:val="NormalWeb"/>
        <w:spacing w:before="0" w:beforeAutospacing="0" w:after="0" w:afterAutospacing="0" w:line="480" w:lineRule="auto"/>
        <w:ind w:firstLine="720"/>
        <w:rPr>
          <w:color w:val="0E101A"/>
        </w:rPr>
      </w:pPr>
      <w:r>
        <w:rPr>
          <w:color w:val="0E101A"/>
        </w:rPr>
        <w:t>Modern cybersecurity frameworks have evolved as organizations recognized that compliance checklists alone do not reliably reduce risk in dynamic threat environments. Contemporary approaches emphasize risk-based decision-making, prioritizing controls based on organizational context, asset criticality, and the likely impact on operations (Whitman &amp; Mattord, 2022). This shift reflects the integration of cybersecurity into broader enterprise risk management, where security objectives are aligned with strategic business goals rather than treated as isolated technical concerns. Standards bodies such as NIST and ISO promote adaptability and continuous improvement to accommodate differences in organizational size, sector, and risk tolerance (NIST, 2024). However, this flexibility shifts a significant implementation burden onto organizations, requiring them to translate high-level outcomes into measurable practices, metrics, and governance mechanisms.</w:t>
      </w:r>
    </w:p>
    <w:p w14:paraId="5A843958" w14:textId="77777777" w:rsidR="0073134A" w:rsidRDefault="0073134A" w:rsidP="00C97E22">
      <w:pPr>
        <w:pStyle w:val="NormalWeb"/>
        <w:spacing w:before="0" w:beforeAutospacing="0" w:after="0" w:afterAutospacing="0" w:line="480" w:lineRule="auto"/>
        <w:ind w:firstLine="720"/>
        <w:rPr>
          <w:color w:val="0E101A"/>
        </w:rPr>
      </w:pPr>
      <w:r>
        <w:rPr>
          <w:color w:val="0E101A"/>
        </w:rPr>
        <w:t>The implementation burden is particularly acute for mid-sized organizations that operate under tight resource constraints. These organizations often lack dedicated risk management functions or internal audit teams capable of designing, executing, and maintaining robust assessment mechanisms (Becker et al., 2009). In many cases, cybersecurity responsibility resides within generalized IT roles that also manage core infrastructure and user support, leaving limited capacity for systematic measurement and improvement. Without clearly defined measures, outcome-focused guidance can remain abstract and difficult to operationalize. As a result, mid-sized organizations may implement controls in an ad hoc manner, focusing on specific technologies or compliance obligations rather than building coherent, measurable capabilities that are aligned with enterprise risk priorities.</w:t>
      </w:r>
    </w:p>
    <w:p w14:paraId="1D98DAD5" w14:textId="77777777" w:rsidR="0073134A" w:rsidRDefault="0073134A" w:rsidP="00C97E22">
      <w:pPr>
        <w:pStyle w:val="NormalWeb"/>
        <w:spacing w:before="0" w:beforeAutospacing="0" w:after="0" w:afterAutospacing="0" w:line="480" w:lineRule="auto"/>
        <w:ind w:firstLine="720"/>
        <w:rPr>
          <w:color w:val="0E101A"/>
        </w:rPr>
      </w:pPr>
      <w:r>
        <w:rPr>
          <w:color w:val="0E101A"/>
        </w:rPr>
        <w:lastRenderedPageBreak/>
        <w:t>NIST CSF provides a widely adopted, risk-based structure for organizing cybersecurity outcomes into five core functions: Identify, Protect, Detect, Respond, and Recover, supported by categories and subcategories (NIST, 2024). CSF 2.0 further introduces a Governance function that highlights the integration of leadership, policy, and risk management. This structure helps organizations map existing controls, policies, and governance practices to desired outcomes without mandating a specific control set or technology stack. CSF's strength lies in its portability across sectors and organizational types, making it a common reference point among regulators, customers, and supply-chain partners. By promoting a shared vocabulary, the framework also improves communication between technical teams and executive leadership. It supports alignment with other standards such as ISO/IEC 27001 and NIST Risk Management Framework (NIST, 2018, 2020).</w:t>
      </w:r>
    </w:p>
    <w:p w14:paraId="0C0FEC82" w14:textId="77777777" w:rsidR="0073134A" w:rsidRDefault="0073134A" w:rsidP="00C97E22">
      <w:pPr>
        <w:pStyle w:val="NormalWeb"/>
        <w:spacing w:before="0" w:beforeAutospacing="0" w:after="0" w:afterAutospacing="0" w:line="480" w:lineRule="auto"/>
        <w:ind w:firstLine="720"/>
        <w:rPr>
          <w:color w:val="0E101A"/>
        </w:rPr>
      </w:pPr>
      <w:r>
        <w:rPr>
          <w:color w:val="0E101A"/>
        </w:rPr>
        <w:t>Despite these strengths, NIST CSF does not define maturity levels or standardized scoring mechanisms that organizations can use to assess capability or track progress. Implementers are expected to develop profiles and determine progress independently, which often leads to highly variable assessment practices (NIST, 2024). In organizations without strong governance or audit capacity, assessments may rely on informal judgments, undocumented assumptions, or optimistic interpretations of control effectiveness. This variability makes it difficult to compare results over time or across business units and complicates efforts to demonstrate cybersecurity maturity to external stakeholders. These limitations motivate the need for complementary models that introduce structured measurement while preserving CSF's outcome-based flexibility.</w:t>
      </w:r>
    </w:p>
    <w:p w14:paraId="59F0E382" w14:textId="37567961" w:rsidR="0073134A" w:rsidRDefault="0073134A" w:rsidP="00C97E22">
      <w:pPr>
        <w:pStyle w:val="NormalWeb"/>
        <w:spacing w:before="0" w:beforeAutospacing="0" w:after="0" w:afterAutospacing="0" w:line="480" w:lineRule="auto"/>
        <w:ind w:firstLine="720"/>
        <w:rPr>
          <w:color w:val="0E101A"/>
        </w:rPr>
      </w:pPr>
      <w:r>
        <w:rPr>
          <w:color w:val="0E101A"/>
        </w:rPr>
        <w:t xml:space="preserve">Adoption of CSF differs significantly between large enterprises and mid-sized organizations. Large enterprises frequently embed CSF into governance, risk, and compliance </w:t>
      </w:r>
      <w:r>
        <w:rPr>
          <w:color w:val="0E101A"/>
        </w:rPr>
        <w:lastRenderedPageBreak/>
        <w:t xml:space="preserve">programs supported by internal audit functions and dedicated security personnel (Renaud et al., 2024). These organizations can design tailored metrics, map CSF outcomes to detailed control catalogs such as NIST SP 800-171 or ISO/IEC </w:t>
      </w:r>
      <w:r w:rsidR="009352FF">
        <w:rPr>
          <w:color w:val="0E101A"/>
        </w:rPr>
        <w:t>27001 and</w:t>
      </w:r>
      <w:r>
        <w:rPr>
          <w:color w:val="0E101A"/>
        </w:rPr>
        <w:t xml:space="preserve"> conduct recurring assessments that feed into governance reporting and regulatory interactions (NIST, 2020; International Organization for Standardization, 2022). Mid-sized organizations, by contrast, often lack comparable resources and may rely heavily on managed service providers and external consultants for security functions. This reliance can reduce direct visibility into control effectiveness and make consistent measurement more challenging to sustain over time. As stakeholder expectations increase, mid-sized organizations face growing pressure to provide credible evidence of cybersecurity maturity rather than merely asserting alignment with CSF or other frameworks (Whitman &amp; Mattord, 2022; Renaud et al., 2024).</w:t>
      </w:r>
    </w:p>
    <w:p w14:paraId="0954D97B" w14:textId="77777777" w:rsidR="0073134A" w:rsidRDefault="0073134A" w:rsidP="00C97E22">
      <w:pPr>
        <w:pStyle w:val="NormalWeb"/>
        <w:spacing w:before="0" w:beforeAutospacing="0" w:after="0" w:afterAutospacing="0" w:line="480" w:lineRule="auto"/>
        <w:ind w:firstLine="720"/>
        <w:rPr>
          <w:color w:val="0E101A"/>
        </w:rPr>
      </w:pPr>
      <w:r>
        <w:rPr>
          <w:color w:val="0E101A"/>
        </w:rPr>
        <w:t xml:space="preserve">Mid-sized organizations often support critical operations and handle sensitive data while operating with constrained staffing and budgets. Typical mid-sized entities may employ several hundred to a few thousand staff members and support hybrid environments that blend cloud services with on-premises infrastructure. In these contexts, security responsibilities are frequently distributed among general IT roles, leaving gaps in governance, monitoring, and incident response capabilities (Renaud et al., 2024). This environment encourages reactive security spending focused on immediate threats or audit findings instead of systematic capability building. From a governance perspective, leadership may acknowledge cyber risk but struggle to institutionalize processes for consistent measurement and accountability. Without standardized assessment methods, cybersecurity posture becomes difficult to communicate clearly to executives and challenging to defend during audits, vendor reviews, or incident investigations </w:t>
      </w:r>
      <w:r>
        <w:rPr>
          <w:color w:val="0E101A"/>
        </w:rPr>
        <w:lastRenderedPageBreak/>
        <w:t>(Whitman &amp; Mattord, 2022). These characteristics make mid-sized organizations a compelling focus for maturity-based self-assessment models.</w:t>
      </w:r>
    </w:p>
    <w:p w14:paraId="172802B3" w14:textId="77777777" w:rsidR="0073134A" w:rsidRDefault="0073134A" w:rsidP="00C97E22">
      <w:pPr>
        <w:pStyle w:val="NormalWeb"/>
        <w:spacing w:before="0" w:beforeAutospacing="0" w:after="0" w:afterAutospacing="0" w:line="480" w:lineRule="auto"/>
        <w:ind w:firstLine="720"/>
        <w:rPr>
          <w:color w:val="0E101A"/>
        </w:rPr>
      </w:pPr>
      <w:r>
        <w:rPr>
          <w:color w:val="0E101A"/>
        </w:rPr>
        <w:t>The contemporary threat landscape further amplifies the risks faced by mid-sized organizations and reinforces the need for structured approaches to maturity assessment. Threat actors increasingly employ ransomware-as-a-service, credential harvesting, and supply-chain exploitation techniques that do not require highly sophisticated infrastructure but can cause substantial harm to organizations with limited detection and response capabilities (Renaud et al., 2024). These tactics often target entities perceived as lacking mature governance, monitoring, and recovery processes, traits frequently associated with mid-sized enterprises. Unlike large organizations, mid-sized entities may lack continuous security operations centers, formal threat intelligence integration, and dedicated incident response teams. As a result, adversaries are more likely to gain and maintain access for extended periods, increasing both disruption and recovery costs (Whitman &amp; Mattord, 2022).</w:t>
      </w:r>
    </w:p>
    <w:p w14:paraId="74FC5DA6" w14:textId="77777777" w:rsidR="0073134A" w:rsidRDefault="0073134A" w:rsidP="00C97E22">
      <w:pPr>
        <w:pStyle w:val="NormalWeb"/>
        <w:spacing w:before="0" w:beforeAutospacing="0" w:after="0" w:afterAutospacing="0" w:line="480" w:lineRule="auto"/>
        <w:ind w:firstLine="720"/>
        <w:rPr>
          <w:color w:val="0E101A"/>
        </w:rPr>
      </w:pPr>
      <w:r>
        <w:rPr>
          <w:color w:val="0E101A"/>
        </w:rPr>
        <w:t xml:space="preserve">Supply-chain risk adds further complexity for mid-sized organizations, many of which operate as vendors or service providers to larger enterprises. These relationships expose them to heightened security expectations without providing commensurate resources. Attackers increasingly seek to exploit such relationships by targeting less mature organizations as entry points into larger ecosystems (NIST, 2024). Furthermore, larger customers and regulators often require mid-sized organizations to complete security questionnaires or demonstrate alignment with frameworks such as NIST CSF or ISO/IEC 27001 (U.S. Cybersecurity and Infrastructure Security Agency, 2023). Without structured mechanisms to assess and demonstrate cybersecurity maturity, mid-sized organizations may struggle to identify critical dependencies, prioritize protections, or communicate risk posture effectively. In this context, outcome-based frameworks </w:t>
      </w:r>
      <w:r>
        <w:rPr>
          <w:color w:val="0E101A"/>
        </w:rPr>
        <w:lastRenderedPageBreak/>
        <w:t>like CSF are necessary but not sufficient. Maturity-based self-assessment offers a practical means of translating high-level outcomes into measurable capability levels that reflect real-world threat exposure, thereby supporting more informed security and governance decisions.</w:t>
      </w:r>
    </w:p>
    <w:p w14:paraId="10A1943B" w14:textId="77777777" w:rsidR="0073134A" w:rsidRDefault="0073134A" w:rsidP="00C97E22">
      <w:pPr>
        <w:pStyle w:val="NormalWeb"/>
        <w:spacing w:before="0" w:beforeAutospacing="0" w:after="0" w:afterAutospacing="0" w:line="480" w:lineRule="auto"/>
        <w:ind w:firstLine="720"/>
        <w:rPr>
          <w:color w:val="0E101A"/>
        </w:rPr>
      </w:pPr>
      <w:r>
        <w:rPr>
          <w:color w:val="0E101A"/>
        </w:rPr>
        <w:t>Maturity models evaluate capability progression through staged levels that emphasize not only whether controls exist but also whether they are standardized, governed, measured, and continuously improved (Becker et al., 2009). Unlike point-in-time compliance checks, maturity models support ongoing improvement and help organizations plan realistic progression aligned with risk and available resources. In cybersecurity, maturity models include the Capability Maturity Model Integration (CMMI), the Cybersecurity Maturity Model Certification (CMMC), and programs aligned with ISO/IEC 27001. CMMI, for example, focuses on process improvement across development and service domains and defines maturity levels from initial to optimizing, each associated with specific process characteristics. CMMC introduces tiered levels of cybersecurity practices and processes tied to federal contract requirements, with defined assessment and certification mechanisms. ISO/IEC 27001 audits provide a binary certification decision. However, they are often complemented by informal maturity assessments that describe the extent to which information security management systems are embedded (International Organization for Standardization, 2022).</w:t>
      </w:r>
    </w:p>
    <w:p w14:paraId="21C056B4" w14:textId="77777777" w:rsidR="0073134A" w:rsidRDefault="0073134A" w:rsidP="00C97E22">
      <w:pPr>
        <w:pStyle w:val="NormalWeb"/>
        <w:spacing w:before="0" w:beforeAutospacing="0" w:after="0" w:afterAutospacing="0" w:line="480" w:lineRule="auto"/>
        <w:ind w:firstLine="720"/>
        <w:rPr>
          <w:color w:val="0E101A"/>
        </w:rPr>
      </w:pPr>
      <w:r>
        <w:rPr>
          <w:color w:val="0E101A"/>
        </w:rPr>
        <w:t xml:space="preserve">Although these models provide valuable benchmarks for prioritization, resource allocation, and governance reporting, they also exhibit limitations when applied directly to mid-sized organizations. CMMI and CMMC can be resource-intensive, requiring extensive documentation, formal assessment processes, and, in some cases, third-party certification. For many mid-sized entities, the cost and complexity of full model adoption may exceed available capacity or business need. Similarly, ISO/IEC 27001 certification demands a substantial </w:t>
      </w:r>
      <w:r>
        <w:rPr>
          <w:color w:val="0E101A"/>
        </w:rPr>
        <w:lastRenderedPageBreak/>
        <w:t>investment in management system design, implementation, and audit readiness that some mid-sized organizations may not be prepared to undertake. These factors suggest that while established maturity models offer important design insights, a CSF-aligned model tailored to mid-sized organizations should emphasize usability, repeatability, and alignment with outcomes rather than extensive compliance overhead (de Bruin et al., 2005).</w:t>
      </w:r>
    </w:p>
    <w:p w14:paraId="6ACB04DD" w14:textId="77777777" w:rsidR="0073134A" w:rsidRDefault="0073134A" w:rsidP="00C97E22">
      <w:pPr>
        <w:pStyle w:val="NormalWeb"/>
        <w:spacing w:before="0" w:beforeAutospacing="0" w:after="0" w:afterAutospacing="0" w:line="480" w:lineRule="auto"/>
        <w:ind w:firstLine="720"/>
        <w:rPr>
          <w:color w:val="0E101A"/>
        </w:rPr>
      </w:pPr>
      <w:r>
        <w:rPr>
          <w:color w:val="0E101A"/>
        </w:rPr>
        <w:t>Measuring cybersecurity effectiveness is intrinsically difficult because standard metrics, such as counts of vulnerabilities, patches, or incidents, do not necessarily reflect risk reduction or maturity. Many organizations track lagging indicators, such as the number of security incidents in a year, which provide limited insight into whether underlying capabilities are improving. Leading indicators, such as patch cycle times, training completion rates, or mean time to detect, can offer more actionable signals but still require careful interpretation (Souppaya &amp; Scarfone, 2016). External audits can offer independent validation but are often costly and episodic, while self-assessment provides flexibility but can become subjective and inconsistent without standardized criteria (de Bruin et al., 2005). A key gap in the existing literature and practice is the absence of a standardized, maturity-based self-assessment model embedded in the NIST CSF. Although CSF encourages organizations to assess current and target states, it does not define how maturity should be evaluated or how progress should be measured over time (NIST, 2024). This gap supports the central thesis that a maturity-aligned model can enhance CSF's operational value, particularly for mid-sized organizations facing resource constraints and increasing external scrutiny.</w:t>
      </w:r>
    </w:p>
    <w:p w14:paraId="09868B73" w14:textId="77777777" w:rsidR="0073134A" w:rsidRDefault="0073134A" w:rsidP="00C97E22">
      <w:pPr>
        <w:pStyle w:val="NormalWeb"/>
        <w:spacing w:before="0" w:beforeAutospacing="0" w:after="0" w:afterAutospacing="0" w:line="480" w:lineRule="auto"/>
        <w:ind w:firstLine="720"/>
        <w:rPr>
          <w:color w:val="0E101A"/>
        </w:rPr>
      </w:pPr>
      <w:r>
        <w:rPr>
          <w:color w:val="0E101A"/>
        </w:rPr>
        <w:t>Self-assessment is widely promoted as a cost-effective approach to evaluating cybersecurity posture. However, the literature consistently identifies limitations when it is conducted without structured criteria or standardized measurement mechanisms. Informal self-</w:t>
      </w:r>
      <w:r>
        <w:rPr>
          <w:color w:val="0E101A"/>
        </w:rPr>
        <w:lastRenderedPageBreak/>
        <w:t>assessments may rely on subjective judgments, undocumented assumptions, or aspirational interpretations of control effectiveness, leading to results that reflect intent more than demonstrable capability (de Bruin et al., 2005). One of the most significant risks associated with such approaches is inconsistency over time. Without defined maturity levels or scoring criteria, organizations cannot easily determine whether changes in assessment outcomes reflect genuine improvement or differences in interpretation. This inconsistency undermines longitudinal analysis and hampers the ability to measure progress toward target states. In mid-sized organizations where small teams or single individuals often perform assessments, variability in expertise exacerbates these issues (Becker et al., 2009).</w:t>
      </w:r>
    </w:p>
    <w:p w14:paraId="09A06351" w14:textId="77777777" w:rsidR="0073134A" w:rsidRDefault="0073134A" w:rsidP="00C97E22">
      <w:pPr>
        <w:pStyle w:val="NormalWeb"/>
        <w:spacing w:before="0" w:beforeAutospacing="0" w:after="0" w:afterAutospacing="0" w:line="480" w:lineRule="auto"/>
        <w:ind w:firstLine="720"/>
        <w:rPr>
          <w:color w:val="0E101A"/>
        </w:rPr>
      </w:pPr>
      <w:r>
        <w:rPr>
          <w:color w:val="0E101A"/>
        </w:rPr>
        <w:t>Informal self-assessment practices also complicate communication with executive leadership and external stakeholders. Qualitative descriptions of cybersecurity posture may lack the clarity needed to support investment decisions, risk acceptance, or governance reporting. When assessment results cannot be translated into comparable indicators, leadership may struggle to evaluate trade-offs or justify resource allocation, even when risk is recognized as significant (Whitman &amp; Mattord, 2022). As boards and regulators increasingly expect evidence-based demonstrations of cybersecurity maturity rather than narrative assurances, the limitations of informal self-assessment become more pronounced. These observations highlight the need for structured approaches that retain flexibility while improving consistency, transparency, and repeatability. A maturity-based self-assessment model aligned with NIST CSF offers a mechanism to address these concerns by defining staged maturity levels and standardized scoring criteria that preserve accessibility for organizations with limited assessment resources.</w:t>
      </w:r>
    </w:p>
    <w:p w14:paraId="690ED82A" w14:textId="77777777" w:rsidR="0073134A" w:rsidRDefault="0073134A" w:rsidP="0073134A">
      <w:pPr>
        <w:pStyle w:val="NormalWeb"/>
        <w:spacing w:before="0" w:beforeAutospacing="0" w:after="0" w:afterAutospacing="0" w:line="480" w:lineRule="auto"/>
        <w:rPr>
          <w:color w:val="0E101A"/>
        </w:rPr>
      </w:pPr>
      <w:r>
        <w:rPr>
          <w:color w:val="0E101A"/>
        </w:rPr>
        <w:t>Analysis of NIST CSF 2.0</w:t>
      </w:r>
    </w:p>
    <w:p w14:paraId="7987B6DE" w14:textId="77777777" w:rsidR="0073134A" w:rsidRDefault="0073134A" w:rsidP="00C97E22">
      <w:pPr>
        <w:pStyle w:val="NormalWeb"/>
        <w:spacing w:before="0" w:beforeAutospacing="0" w:after="0" w:afterAutospacing="0" w:line="480" w:lineRule="auto"/>
        <w:ind w:firstLine="720"/>
        <w:rPr>
          <w:color w:val="0E101A"/>
        </w:rPr>
      </w:pPr>
      <w:r>
        <w:rPr>
          <w:color w:val="0E101A"/>
        </w:rPr>
        <w:lastRenderedPageBreak/>
        <w:t>NIST CSF 2.0 reflects a decade of adoption experience and expands the framework's relevance beyond critical infrastructure by emphasizing governance, accountability, and integration with enterprise risk management (NIST, 2024). A defining feature of CSF 2.0 is its stronger treatment of governance as a foundational function rather than an implicit aspect of other activities. Governance outcomes include establishing roles and responsibilities, aligning cybersecurity with organizational objectives, and integrating cybersecurity considerations into decision-making processes. This shift acknowledges that cybersecurity outcomes depend heavily on leadership oversight, risk tolerance decisions, policy enforcement, and organizational culture, not solely on technical controls. For mid-sized organizations, this emphasis is conceptually valuable because it aligns cybersecurity with risk and governance practices emphasized throughout advanced cybersecurity education.</w:t>
      </w:r>
    </w:p>
    <w:p w14:paraId="667F6D44" w14:textId="126B116B" w:rsidR="0073134A" w:rsidRDefault="0073134A" w:rsidP="00C97E22">
      <w:pPr>
        <w:pStyle w:val="NormalWeb"/>
        <w:spacing w:before="0" w:beforeAutospacing="0" w:after="0" w:afterAutospacing="0" w:line="480" w:lineRule="auto"/>
        <w:ind w:firstLine="720"/>
        <w:rPr>
          <w:color w:val="0E101A"/>
        </w:rPr>
      </w:pPr>
      <w:r>
        <w:rPr>
          <w:color w:val="0E101A"/>
        </w:rPr>
        <w:t xml:space="preserve">CSF 2.0 retains the core functions of Identify, Protect, Detect, Respond, and Recover while expanding guidance and references for each. The Identify function focuses on understanding assets, business environment, governance structures, risk management, and supply-chain relationships. Protect includes access control, awareness and training, data security, and protective technologies. Detect emphasizes anomaly detection, continuous monitoring, and detection processes, while Respond covers response planning, communications, analysis, and mitigation. Recover addresses recovery planning, improvements, and communication. The Governance function spans policy, legal, and regulatory requirements, accountability, and organizational risk management practices (NIST, 2024). For each function, CSF describes high-level outcomes that organizations should strive to </w:t>
      </w:r>
      <w:r w:rsidR="009352FF">
        <w:rPr>
          <w:color w:val="0E101A"/>
        </w:rPr>
        <w:t>achieve but</w:t>
      </w:r>
      <w:r>
        <w:rPr>
          <w:color w:val="0E101A"/>
        </w:rPr>
        <w:t xml:space="preserve"> does not specify how the capabilities within those outcomes should be measured or benchmarked.</w:t>
      </w:r>
    </w:p>
    <w:p w14:paraId="418FA50A" w14:textId="77777777" w:rsidR="0073134A" w:rsidRDefault="0073134A" w:rsidP="00C97E22">
      <w:pPr>
        <w:pStyle w:val="NormalWeb"/>
        <w:spacing w:before="0" w:beforeAutospacing="0" w:after="0" w:afterAutospacing="0" w:line="480" w:lineRule="auto"/>
        <w:ind w:firstLine="720"/>
        <w:rPr>
          <w:color w:val="0E101A"/>
        </w:rPr>
      </w:pPr>
      <w:r>
        <w:rPr>
          <w:color w:val="0E101A"/>
        </w:rPr>
        <w:lastRenderedPageBreak/>
        <w:t>For mid-sized organizations, this design offers both benefits and challenges. On one hand, the flexibility of CSF allows organizations to adopt and adapt the framework without being constrained by prescriptive control lists or technologies. On the other hand, it leaves open critical questions such as what constitutes an adequate level of capability in a particular function, how progress should be tracked over time, and how trade-offs between different functions should be evaluated. Without structured measurement mechanisms, mid-sized organizations may implement controls in some areas while leaving others underdeveloped, with limited visibility into the overall maturity of their cybersecurity posture.</w:t>
      </w:r>
    </w:p>
    <w:p w14:paraId="348ED9D3" w14:textId="2DE9FF1D" w:rsidR="0073134A" w:rsidRDefault="0073134A" w:rsidP="00323E7A">
      <w:pPr>
        <w:pStyle w:val="NormalWeb"/>
        <w:spacing w:before="0" w:beforeAutospacing="0" w:after="0" w:afterAutospacing="0" w:line="480" w:lineRule="auto"/>
        <w:ind w:firstLine="720"/>
        <w:rPr>
          <w:color w:val="0E101A"/>
        </w:rPr>
      </w:pPr>
      <w:r>
        <w:rPr>
          <w:color w:val="0E101A"/>
        </w:rPr>
        <w:t>A targeted gap analysis of NIST CSF highlights three operational limitations that reduce its usefulness as a maturity measurement tool for mid-sized organizations. First, the framework does not define maturity baselines for functions or categories, leaving organizations uncertain whether their posture is sufficient for their risk profile. For example, a mid-sized healthcare provider may believe its access control practices are adequate because multifactor authentication has been deployed for some applications, but, without maturity criteria, it may overlook inconsistent role definitions, incomplete account reviews, or a lack of formal provisioning workflows. Second, CSF lacks a standardized scoring mechanism. At the same time, NIST intentionally avoids numeric scoring to preserve flexibility and discourage oversimplification; the absence of measurement can make progress tracking, benchmarking, and investment justification difficult (NIST, 2024). Organizations attempting to track progress may rely on ad hoc rating scales that differ across business units or assessment cycles, limiting comparability.</w:t>
      </w:r>
      <w:r w:rsidR="00323E7A">
        <w:rPr>
          <w:color w:val="0E101A"/>
        </w:rPr>
        <w:t xml:space="preserve"> </w:t>
      </w:r>
      <w:r>
        <w:rPr>
          <w:color w:val="0E101A"/>
        </w:rPr>
        <w:t xml:space="preserve">Third, the framework does not provide structured guidance on sequencing improvements across capability levels, which can lead to inefficient prioritization when budgets and staffing are limited (de Bruin et al., 2005; Becker et al., 2009). Without a clear sense of which foundational </w:t>
      </w:r>
      <w:r>
        <w:rPr>
          <w:color w:val="0E101A"/>
        </w:rPr>
        <w:lastRenderedPageBreak/>
        <w:t>practices must be in place before more advanced capabilities can be effective, mid-sized organizations may invest in advanced monitoring tools or threat intelligence services without first establishing basic asset inventories, logging practices, or incident response processes. This sequence problem can reduce the return on investment for security spending and create a perception that cybersecurity efforts are not yielding tangible benefits.</w:t>
      </w:r>
    </w:p>
    <w:p w14:paraId="6747495E" w14:textId="005AE1EA" w:rsidR="0073134A" w:rsidRDefault="0073134A" w:rsidP="00C97E22">
      <w:pPr>
        <w:pStyle w:val="NormalWeb"/>
        <w:spacing w:before="0" w:beforeAutospacing="0" w:after="0" w:afterAutospacing="0" w:line="480" w:lineRule="auto"/>
        <w:ind w:firstLine="720"/>
        <w:rPr>
          <w:color w:val="0E101A"/>
        </w:rPr>
      </w:pPr>
      <w:r>
        <w:rPr>
          <w:color w:val="0E101A"/>
        </w:rPr>
        <w:t>These gaps disproportionately affect mid-sized organizations because they often lack internal audit teams and specialized assessment expertise. Without repeatable maturity indicators, organizations struggle to credibly communicate their cybersecurity posture to executives, regulators, and supply-chain partners (Renaud et al., 2024). They may also invest heavily in tools without integrating them into governance, measurement, and operational processes, resulting in immature capabilities despite visible technical spending (Whitman &amp; Mattord, 2022). Regulatory and stakeholder expectations further increase pressure to demonstrate not only framework adoption but also evidence of practical implementation. Insurance providers, for instance, increasingly inquire about specific security practices, incident histories, and governance processes, while large customers may require detailed assessments or mappings between CSF and other frameworks (U.S. Cybersecurity and Infrastructure Security Agency, 2023). These findings support the thesis that a structured maturity-based self-assessment model can supplement CSF by enabling consistent measurement, risk-informed prioritization, and systematic progress tracking while still leveraging the framework's outcome-based structure.</w:t>
      </w:r>
    </w:p>
    <w:p w14:paraId="6C938486" w14:textId="77777777" w:rsidR="009352FF" w:rsidRDefault="009352FF" w:rsidP="0073134A">
      <w:pPr>
        <w:pStyle w:val="NormalWeb"/>
        <w:spacing w:before="0" w:beforeAutospacing="0" w:after="0" w:afterAutospacing="0" w:line="480" w:lineRule="auto"/>
        <w:rPr>
          <w:b/>
          <w:bCs/>
          <w:color w:val="0E101A"/>
        </w:rPr>
      </w:pPr>
    </w:p>
    <w:p w14:paraId="66E84E4F" w14:textId="77777777" w:rsidR="00B84992" w:rsidRDefault="00B84992" w:rsidP="0073134A">
      <w:pPr>
        <w:pStyle w:val="NormalWeb"/>
        <w:spacing w:before="0" w:beforeAutospacing="0" w:after="0" w:afterAutospacing="0" w:line="480" w:lineRule="auto"/>
        <w:rPr>
          <w:b/>
          <w:bCs/>
          <w:color w:val="0E101A"/>
        </w:rPr>
      </w:pPr>
    </w:p>
    <w:p w14:paraId="2275F148" w14:textId="77777777" w:rsidR="00B84992" w:rsidRDefault="00B84992" w:rsidP="0073134A">
      <w:pPr>
        <w:pStyle w:val="NormalWeb"/>
        <w:spacing w:before="0" w:beforeAutospacing="0" w:after="0" w:afterAutospacing="0" w:line="480" w:lineRule="auto"/>
        <w:rPr>
          <w:b/>
          <w:bCs/>
          <w:color w:val="0E101A"/>
        </w:rPr>
      </w:pPr>
    </w:p>
    <w:p w14:paraId="34D6938F" w14:textId="7911299A" w:rsidR="0073134A" w:rsidRPr="00C97E22" w:rsidRDefault="0073134A" w:rsidP="0073134A">
      <w:pPr>
        <w:pStyle w:val="NormalWeb"/>
        <w:spacing w:before="0" w:beforeAutospacing="0" w:after="0" w:afterAutospacing="0" w:line="480" w:lineRule="auto"/>
        <w:rPr>
          <w:b/>
          <w:bCs/>
          <w:color w:val="0E101A"/>
        </w:rPr>
      </w:pPr>
      <w:r w:rsidRPr="00C97E22">
        <w:rPr>
          <w:b/>
          <w:bCs/>
          <w:color w:val="0E101A"/>
        </w:rPr>
        <w:lastRenderedPageBreak/>
        <w:t>Proposed Maturity-Based Self-Assessment Model</w:t>
      </w:r>
    </w:p>
    <w:p w14:paraId="454EF495" w14:textId="3D1E98B4" w:rsidR="00A118ED" w:rsidRDefault="0073134A" w:rsidP="009B4698">
      <w:pPr>
        <w:pStyle w:val="NormalWeb"/>
        <w:spacing w:before="0" w:beforeAutospacing="0" w:after="0" w:afterAutospacing="0" w:line="480" w:lineRule="auto"/>
        <w:ind w:firstLine="720"/>
        <w:rPr>
          <w:color w:val="0E101A"/>
        </w:rPr>
      </w:pPr>
      <w:r>
        <w:rPr>
          <w:color w:val="0E101A"/>
        </w:rPr>
        <w:t>The proposed maturity-based self-assessment model is designed to augment the NIST CSF by providing a practical, repeatable method for measuring cybersecurity capability and tracking improvement over time. Rather than replacing CSF, the model explicitly maps maturity stages to CSF functions and categories and generates standardized scoring and roadmap outputs that integrate with existing governance mechanisms. The scope of the model is internal self-assessment for governance reporting, resource prioritization, and continuous improvement; it is not designed as a formal certification scheme or regulatory assessment tool (NIST, 2024). By focusing on internal use, the model aims to remain lightweight and usable for mid-sized organizations while still offering sufficient rigor to support executive-level decisions.</w:t>
      </w:r>
    </w:p>
    <w:p w14:paraId="6FDD335E" w14:textId="4565F3BA" w:rsidR="00A118ED" w:rsidRPr="00A118ED" w:rsidRDefault="00A118ED" w:rsidP="00A118ED">
      <w:pPr>
        <w:pStyle w:val="NormalWeb"/>
        <w:spacing w:before="0" w:beforeAutospacing="0" w:after="0" w:afterAutospacing="0" w:line="480" w:lineRule="auto"/>
        <w:rPr>
          <w:b/>
          <w:bCs/>
          <w:color w:val="0E101A"/>
        </w:rPr>
      </w:pPr>
      <w:r w:rsidRPr="00A118ED">
        <w:rPr>
          <w:b/>
          <w:bCs/>
          <w:color w:val="0E101A"/>
        </w:rPr>
        <w:t>Model Design Principles</w:t>
      </w:r>
    </w:p>
    <w:p w14:paraId="2325D804" w14:textId="0109CBD4" w:rsidR="00BE36B5" w:rsidRDefault="00BE36B5" w:rsidP="00C97E22">
      <w:pPr>
        <w:pStyle w:val="NormalWeb"/>
        <w:spacing w:before="0" w:beforeAutospacing="0" w:after="0" w:afterAutospacing="0" w:line="480" w:lineRule="auto"/>
        <w:ind w:firstLine="720"/>
        <w:rPr>
          <w:color w:val="0E101A"/>
        </w:rPr>
      </w:pPr>
      <w:r w:rsidRPr="00BE36B5">
        <w:rPr>
          <w:color w:val="0E101A"/>
        </w:rPr>
        <w:t>Unlike CMMI and CMMC, which define organization</w:t>
      </w:r>
      <w:r w:rsidRPr="00BE36B5">
        <w:rPr>
          <w:color w:val="0E101A"/>
        </w:rPr>
        <w:noBreakHyphen/>
        <w:t>wide process maturity levels tied to formal certification and extensive documentation, the proposed model focuses specifically on NIST CSF functions and categories as an internal self</w:t>
      </w:r>
      <w:r w:rsidRPr="00BE36B5">
        <w:rPr>
          <w:color w:val="0E101A"/>
        </w:rPr>
        <w:noBreakHyphen/>
        <w:t>assessment tool for mid</w:t>
      </w:r>
      <w:r w:rsidRPr="00BE36B5">
        <w:rPr>
          <w:color w:val="0E101A"/>
        </w:rPr>
        <w:noBreakHyphen/>
        <w:t>sized organizations. CMMI offers generic process improvement guidance and CMMC prescribes detailed practices for federal contractors, whereas this model translates CSF outcomes into lightweight, evidence</w:t>
      </w:r>
      <w:r w:rsidRPr="00BE36B5">
        <w:rPr>
          <w:color w:val="0E101A"/>
        </w:rPr>
        <w:noBreakHyphen/>
        <w:t>based maturity scores that can be applied without third</w:t>
      </w:r>
      <w:r w:rsidRPr="00BE36B5">
        <w:rPr>
          <w:color w:val="0E101A"/>
        </w:rPr>
        <w:noBreakHyphen/>
        <w:t>party certification. In contrast to NIST’s existing implementation tiers and 1–4 implementation scales, which describe the general extent of framework adoption, the proposed model operates at the CSF category level and produces granular scores that can be aggregated, trended over time, and directly linked to an improvement roadmap.</w:t>
      </w:r>
      <w:r>
        <w:rPr>
          <w:color w:val="0E101A"/>
        </w:rPr>
        <w:t xml:space="preserve"> </w:t>
      </w:r>
    </w:p>
    <w:p w14:paraId="6D3E99D3" w14:textId="77777777" w:rsidR="006B0BD9" w:rsidRDefault="006B0BD9" w:rsidP="00C97E22">
      <w:pPr>
        <w:pStyle w:val="NormalWeb"/>
        <w:spacing w:before="0" w:beforeAutospacing="0" w:after="0" w:afterAutospacing="0" w:line="480" w:lineRule="auto"/>
        <w:ind w:firstLine="720"/>
        <w:rPr>
          <w:color w:val="0E101A"/>
        </w:rPr>
      </w:pPr>
      <w:r w:rsidRPr="006B0BD9">
        <w:rPr>
          <w:color w:val="0E101A"/>
        </w:rPr>
        <w:t>NIST CSF already provides implementation TIERS</w:t>
      </w:r>
      <w:r>
        <w:rPr>
          <w:color w:val="0E101A"/>
        </w:rPr>
        <w:t xml:space="preserve"> </w:t>
      </w:r>
      <w:r w:rsidRPr="006B0BD9">
        <w:rPr>
          <w:color w:val="0E101A"/>
        </w:rPr>
        <w:t>(Partial, Risk Informed, Repeatable, Adaptive) and a 1-4 implementation scale in some guidance; however, these</w:t>
      </w:r>
      <w:r>
        <w:rPr>
          <w:color w:val="0E101A"/>
        </w:rPr>
        <w:t xml:space="preserve"> </w:t>
      </w:r>
      <w:r w:rsidRPr="006B0BD9">
        <w:rPr>
          <w:color w:val="0E101A"/>
        </w:rPr>
        <w:t xml:space="preserve">mechanisms are </w:t>
      </w:r>
      <w:r w:rsidRPr="006B0BD9">
        <w:rPr>
          <w:color w:val="0E101A"/>
        </w:rPr>
        <w:lastRenderedPageBreak/>
        <w:t>high-level indicators of adoption and do not define detailed category-level scoring criteria, aggregation methods, or improvement sequencing. The model in this capstone fills that gap by specifying how individual CSF categories are scored, aggregated, and prioritized in resource-constrained mid-sized environments.</w:t>
      </w:r>
      <w:r w:rsidRPr="006B0BD9">
        <w:rPr>
          <w:color w:val="0E101A"/>
        </w:rPr>
        <w:t xml:space="preserve"> </w:t>
      </w:r>
    </w:p>
    <w:p w14:paraId="73E9FF44" w14:textId="22FA092C" w:rsidR="0073134A" w:rsidRDefault="0073134A" w:rsidP="00C97E22">
      <w:pPr>
        <w:pStyle w:val="NormalWeb"/>
        <w:spacing w:before="0" w:beforeAutospacing="0" w:after="0" w:afterAutospacing="0" w:line="480" w:lineRule="auto"/>
        <w:ind w:firstLine="720"/>
        <w:rPr>
          <w:color w:val="0E101A"/>
        </w:rPr>
      </w:pPr>
      <w:r>
        <w:rPr>
          <w:color w:val="0E101A"/>
        </w:rPr>
        <w:t>Three design principles guide the model. First, it preserves CSF's flexibility by emphasizing outcomes and evidence rather than prescribing specific controls or technologies. Assessors evaluate whether desired outcomes are achieved and supported by verifiable artifacts, not whether particular tools are in place. Second, the model supports risk-informed progression by allowing organizations to target higher maturity in high-risk areas while maintaining lower maturity in areas with limited risk exposure. This principle reflects the practical reality that mid-sized organizations cannot advance uniformly across all CSF categories at once. Third, the model prioritizes usability through clear maturity definitions, standardized scoring criteria, and documentation expectations tailored to organizations with limited assessment resources (Becker et al., 2009; Renaud et al., 2024). These principles reflect key themes in graduate cybersecurity education, emphasizing aligning security investments with risk and governance priorities and focusing on achievable, incremental improvements.</w:t>
      </w:r>
    </w:p>
    <w:p w14:paraId="49DF4049" w14:textId="77777777" w:rsidR="00A118ED" w:rsidRDefault="0073134A" w:rsidP="00A118ED">
      <w:pPr>
        <w:pStyle w:val="NormalWeb"/>
        <w:spacing w:before="0" w:beforeAutospacing="0" w:after="0" w:afterAutospacing="0" w:line="480" w:lineRule="auto"/>
        <w:ind w:firstLine="720"/>
        <w:rPr>
          <w:color w:val="0E101A"/>
        </w:rPr>
      </w:pPr>
      <w:r>
        <w:rPr>
          <w:color w:val="0E101A"/>
        </w:rPr>
        <w:t>The model defines five staged maturity levels that reflect increasingly consistent, governed, and measurable cybersecurity capability. These levels focus on whether practices are documented, repeatable, integrated into governance, and subject to continuous improvement rather than simply whether controls exist. Table 1 summarizes the maturity levels used in the model.</w:t>
      </w:r>
    </w:p>
    <w:p w14:paraId="3EBAA266" w14:textId="7046094A" w:rsidR="00A118ED" w:rsidRPr="00A118ED" w:rsidRDefault="00A118ED" w:rsidP="00A118ED">
      <w:pPr>
        <w:pStyle w:val="NormalWeb"/>
        <w:spacing w:before="0" w:beforeAutospacing="0" w:after="0" w:afterAutospacing="0" w:line="480" w:lineRule="auto"/>
        <w:rPr>
          <w:b/>
          <w:bCs/>
          <w:color w:val="0E101A"/>
        </w:rPr>
      </w:pPr>
      <w:r w:rsidRPr="00A118ED">
        <w:rPr>
          <w:b/>
          <w:bCs/>
          <w:color w:val="0E101A"/>
        </w:rPr>
        <w:t>Maturity Levels and Scoring</w:t>
      </w:r>
    </w:p>
    <w:p w14:paraId="69C0B121" w14:textId="77777777" w:rsidR="0073134A" w:rsidRPr="00C97E22" w:rsidRDefault="0073134A" w:rsidP="0073134A">
      <w:pPr>
        <w:pStyle w:val="NormalWeb"/>
        <w:spacing w:before="0" w:beforeAutospacing="0" w:after="0" w:afterAutospacing="0" w:line="480" w:lineRule="auto"/>
        <w:rPr>
          <w:b/>
          <w:bCs/>
          <w:color w:val="0E101A"/>
        </w:rPr>
      </w:pPr>
      <w:r w:rsidRPr="00C97E22">
        <w:rPr>
          <w:b/>
          <w:bCs/>
          <w:color w:val="0E101A"/>
        </w:rPr>
        <w:t>Table 1</w:t>
      </w:r>
    </w:p>
    <w:p w14:paraId="205823EB" w14:textId="77777777" w:rsidR="0073134A" w:rsidRDefault="0073134A" w:rsidP="0073134A">
      <w:pPr>
        <w:pStyle w:val="NormalWeb"/>
        <w:spacing w:before="0" w:beforeAutospacing="0" w:after="0" w:afterAutospacing="0" w:line="480" w:lineRule="auto"/>
        <w:rPr>
          <w:color w:val="0E101A"/>
        </w:rPr>
      </w:pPr>
      <w:r>
        <w:rPr>
          <w:rStyle w:val="Emphasis"/>
          <w:rFonts w:eastAsiaTheme="majorEastAsia"/>
          <w:color w:val="0E101A"/>
        </w:rPr>
        <w:lastRenderedPageBreak/>
        <w:t>Maturity Levels Defined</w:t>
      </w:r>
    </w:p>
    <w:tbl>
      <w:tblPr>
        <w:tblStyle w:val="TableGrid"/>
        <w:tblW w:w="11340" w:type="dxa"/>
        <w:tblInd w:w="-995" w:type="dxa"/>
        <w:tblLook w:val="04A0" w:firstRow="1" w:lastRow="0" w:firstColumn="1" w:lastColumn="0" w:noHBand="0" w:noVBand="1"/>
      </w:tblPr>
      <w:tblGrid>
        <w:gridCol w:w="2430"/>
        <w:gridCol w:w="8910"/>
      </w:tblGrid>
      <w:tr w:rsidR="004C2EC4" w14:paraId="5A1B2710" w14:textId="77777777" w:rsidTr="008128F4">
        <w:tc>
          <w:tcPr>
            <w:tcW w:w="2430" w:type="dxa"/>
          </w:tcPr>
          <w:p w14:paraId="411B3F4F" w14:textId="0B71F81B" w:rsidR="004C2EC4" w:rsidRDefault="008128F4" w:rsidP="008128F4">
            <w:pPr>
              <w:pStyle w:val="NormalWeb"/>
              <w:spacing w:before="0" w:beforeAutospacing="0" w:after="0" w:afterAutospacing="0" w:line="480" w:lineRule="auto"/>
              <w:jc w:val="center"/>
              <w:rPr>
                <w:color w:val="0E101A"/>
                <w:highlight w:val="yellow"/>
              </w:rPr>
            </w:pPr>
            <w:r w:rsidRPr="008128F4">
              <w:rPr>
                <w:color w:val="0E101A"/>
              </w:rPr>
              <w:t>Level</w:t>
            </w:r>
          </w:p>
        </w:tc>
        <w:tc>
          <w:tcPr>
            <w:tcW w:w="8910" w:type="dxa"/>
          </w:tcPr>
          <w:p w14:paraId="4D589363" w14:textId="3C92278A" w:rsidR="004C2EC4" w:rsidRDefault="008128F4" w:rsidP="008128F4">
            <w:pPr>
              <w:pStyle w:val="NormalWeb"/>
              <w:spacing w:before="0" w:beforeAutospacing="0" w:after="0" w:afterAutospacing="0" w:line="480" w:lineRule="auto"/>
              <w:jc w:val="center"/>
              <w:rPr>
                <w:color w:val="0E101A"/>
                <w:highlight w:val="yellow"/>
              </w:rPr>
            </w:pPr>
            <w:r w:rsidRPr="008128F4">
              <w:rPr>
                <w:color w:val="0E101A"/>
              </w:rPr>
              <w:t>Description</w:t>
            </w:r>
          </w:p>
        </w:tc>
      </w:tr>
      <w:tr w:rsidR="004C2EC4" w14:paraId="01FF99A1" w14:textId="77777777" w:rsidTr="008128F4">
        <w:tc>
          <w:tcPr>
            <w:tcW w:w="2430" w:type="dxa"/>
          </w:tcPr>
          <w:p w14:paraId="5EB67271" w14:textId="5A72E983" w:rsidR="004C2EC4" w:rsidRDefault="008128F4" w:rsidP="0073134A">
            <w:pPr>
              <w:pStyle w:val="NormalWeb"/>
              <w:spacing w:before="0" w:beforeAutospacing="0" w:after="0" w:afterAutospacing="0" w:line="480" w:lineRule="auto"/>
              <w:rPr>
                <w:color w:val="0E101A"/>
                <w:highlight w:val="yellow"/>
              </w:rPr>
            </w:pPr>
            <w:r w:rsidRPr="00810D2B">
              <w:rPr>
                <w:rFonts w:ascii="Arial" w:hAnsi="Arial" w:cs="Arial"/>
                <w:color w:val="0E101A"/>
              </w:rPr>
              <w:t>Level 1</w:t>
            </w:r>
            <w:r>
              <w:rPr>
                <w:rFonts w:ascii="Arial" w:hAnsi="Arial" w:cs="Arial"/>
                <w:color w:val="0E101A"/>
              </w:rPr>
              <w:t xml:space="preserve"> - </w:t>
            </w:r>
            <w:r w:rsidRPr="00810D2B">
              <w:rPr>
                <w:rFonts w:ascii="Arial" w:hAnsi="Arial" w:cs="Arial"/>
                <w:color w:val="0E101A"/>
              </w:rPr>
              <w:t>Initia</w:t>
            </w:r>
            <w:r>
              <w:rPr>
                <w:rFonts w:ascii="Arial" w:hAnsi="Arial" w:cs="Arial"/>
                <w:color w:val="0E101A"/>
              </w:rPr>
              <w:t>l</w:t>
            </w:r>
          </w:p>
        </w:tc>
        <w:tc>
          <w:tcPr>
            <w:tcW w:w="8910" w:type="dxa"/>
          </w:tcPr>
          <w:p w14:paraId="18514CE5" w14:textId="260CD8CA" w:rsidR="004C2EC4" w:rsidRDefault="008128F4" w:rsidP="0073134A">
            <w:pPr>
              <w:pStyle w:val="NormalWeb"/>
              <w:spacing w:before="0" w:beforeAutospacing="0" w:after="0" w:afterAutospacing="0" w:line="480" w:lineRule="auto"/>
              <w:rPr>
                <w:color w:val="0E101A"/>
                <w:highlight w:val="yellow"/>
              </w:rPr>
            </w:pPr>
            <w:r w:rsidRPr="00810D2B">
              <w:rPr>
                <w:rFonts w:ascii="Arial" w:hAnsi="Arial" w:cs="Arial"/>
                <w:color w:val="0E101A"/>
              </w:rPr>
              <w:t>Practices are informal, reactive, and inconsistently applied</w:t>
            </w:r>
          </w:p>
        </w:tc>
      </w:tr>
      <w:tr w:rsidR="008128F4" w14:paraId="509C9AE2" w14:textId="77777777" w:rsidTr="008128F4">
        <w:tc>
          <w:tcPr>
            <w:tcW w:w="2430" w:type="dxa"/>
          </w:tcPr>
          <w:p w14:paraId="45B55DF3" w14:textId="6CE5099C" w:rsidR="008128F4" w:rsidRDefault="008128F4" w:rsidP="008128F4">
            <w:pPr>
              <w:pStyle w:val="NormalWeb"/>
              <w:spacing w:before="0" w:beforeAutospacing="0" w:after="0" w:afterAutospacing="0" w:line="480" w:lineRule="auto"/>
              <w:rPr>
                <w:color w:val="0E101A"/>
                <w:highlight w:val="yellow"/>
              </w:rPr>
            </w:pPr>
            <w:r w:rsidRPr="00810D2B">
              <w:rPr>
                <w:rFonts w:ascii="Arial" w:hAnsi="Arial" w:cs="Arial"/>
                <w:color w:val="0E101A"/>
              </w:rPr>
              <w:t>Level 2</w:t>
            </w:r>
            <w:r>
              <w:rPr>
                <w:rFonts w:ascii="Arial" w:hAnsi="Arial" w:cs="Arial"/>
                <w:color w:val="0E101A"/>
              </w:rPr>
              <w:t xml:space="preserve"> - </w:t>
            </w:r>
            <w:r w:rsidRPr="00810D2B">
              <w:rPr>
                <w:rFonts w:ascii="Arial" w:hAnsi="Arial" w:cs="Arial"/>
                <w:color w:val="0E101A"/>
              </w:rPr>
              <w:t>Developing</w:t>
            </w:r>
          </w:p>
        </w:tc>
        <w:tc>
          <w:tcPr>
            <w:tcW w:w="8910" w:type="dxa"/>
          </w:tcPr>
          <w:p w14:paraId="59E2106A" w14:textId="4431686B" w:rsidR="008128F4" w:rsidRDefault="008128F4" w:rsidP="008128F4">
            <w:pPr>
              <w:pStyle w:val="NormalWeb"/>
              <w:spacing w:before="0" w:beforeAutospacing="0" w:after="0" w:afterAutospacing="0" w:line="480" w:lineRule="auto"/>
              <w:rPr>
                <w:color w:val="0E101A"/>
                <w:highlight w:val="yellow"/>
              </w:rPr>
            </w:pPr>
            <w:r w:rsidRPr="00810D2B">
              <w:rPr>
                <w:rFonts w:ascii="Arial" w:hAnsi="Arial" w:cs="Arial"/>
                <w:color w:val="0E101A"/>
              </w:rPr>
              <w:t>Basic controls exist, but lack standardization and measurement</w:t>
            </w:r>
          </w:p>
        </w:tc>
      </w:tr>
      <w:tr w:rsidR="008128F4" w14:paraId="101148AE" w14:textId="77777777" w:rsidTr="008128F4">
        <w:tc>
          <w:tcPr>
            <w:tcW w:w="2430" w:type="dxa"/>
          </w:tcPr>
          <w:p w14:paraId="22EEAAEB" w14:textId="5CE1DF6C" w:rsidR="008128F4" w:rsidRDefault="008128F4" w:rsidP="008128F4">
            <w:pPr>
              <w:pStyle w:val="NormalWeb"/>
              <w:spacing w:before="0" w:beforeAutospacing="0" w:after="0" w:afterAutospacing="0" w:line="480" w:lineRule="auto"/>
              <w:rPr>
                <w:color w:val="0E101A"/>
                <w:highlight w:val="yellow"/>
              </w:rPr>
            </w:pPr>
            <w:r w:rsidRPr="00810D2B">
              <w:rPr>
                <w:rFonts w:ascii="Arial" w:hAnsi="Arial" w:cs="Arial"/>
                <w:color w:val="0E101A"/>
              </w:rPr>
              <w:t>Level 3</w:t>
            </w:r>
            <w:r>
              <w:rPr>
                <w:rFonts w:ascii="Arial" w:hAnsi="Arial" w:cs="Arial"/>
                <w:color w:val="0E101A"/>
              </w:rPr>
              <w:t xml:space="preserve"> - </w:t>
            </w:r>
            <w:r w:rsidRPr="00810D2B">
              <w:rPr>
                <w:rFonts w:ascii="Arial" w:hAnsi="Arial" w:cs="Arial"/>
                <w:color w:val="0E101A"/>
              </w:rPr>
              <w:t>Defined</w:t>
            </w:r>
          </w:p>
        </w:tc>
        <w:tc>
          <w:tcPr>
            <w:tcW w:w="8910" w:type="dxa"/>
          </w:tcPr>
          <w:p w14:paraId="391FB28B" w14:textId="5EB21761" w:rsidR="008128F4" w:rsidRDefault="008128F4" w:rsidP="008128F4">
            <w:pPr>
              <w:pStyle w:val="NormalWeb"/>
              <w:spacing w:before="0" w:beforeAutospacing="0" w:after="0" w:afterAutospacing="0" w:line="480" w:lineRule="auto"/>
              <w:rPr>
                <w:color w:val="0E101A"/>
                <w:highlight w:val="yellow"/>
              </w:rPr>
            </w:pPr>
            <w:r w:rsidRPr="00810D2B">
              <w:rPr>
                <w:rFonts w:ascii="Arial" w:hAnsi="Arial" w:cs="Arial"/>
                <w:color w:val="0E101A"/>
              </w:rPr>
              <w:t xml:space="preserve">Policies and procedures are documented and consistently implemented </w:t>
            </w:r>
          </w:p>
        </w:tc>
      </w:tr>
      <w:tr w:rsidR="008128F4" w14:paraId="591BAAE7" w14:textId="77777777" w:rsidTr="008128F4">
        <w:tc>
          <w:tcPr>
            <w:tcW w:w="2430" w:type="dxa"/>
          </w:tcPr>
          <w:p w14:paraId="021DE7F2" w14:textId="64F79E23" w:rsidR="008128F4" w:rsidRDefault="008128F4" w:rsidP="008128F4">
            <w:pPr>
              <w:pStyle w:val="NormalWeb"/>
              <w:spacing w:before="0" w:beforeAutospacing="0" w:after="0" w:afterAutospacing="0" w:line="480" w:lineRule="auto"/>
              <w:rPr>
                <w:color w:val="0E101A"/>
                <w:highlight w:val="yellow"/>
              </w:rPr>
            </w:pPr>
            <w:r w:rsidRPr="00810D2B">
              <w:rPr>
                <w:rFonts w:ascii="Arial" w:hAnsi="Arial" w:cs="Arial"/>
                <w:color w:val="0E101A"/>
              </w:rPr>
              <w:t>Level 4</w:t>
            </w:r>
            <w:r>
              <w:rPr>
                <w:rFonts w:ascii="Arial" w:hAnsi="Arial" w:cs="Arial"/>
                <w:color w:val="0E101A"/>
              </w:rPr>
              <w:t xml:space="preserve"> - </w:t>
            </w:r>
            <w:r w:rsidRPr="00810D2B">
              <w:rPr>
                <w:rFonts w:ascii="Arial" w:hAnsi="Arial" w:cs="Arial"/>
                <w:color w:val="0E101A"/>
              </w:rPr>
              <w:t>Managed</w:t>
            </w:r>
          </w:p>
        </w:tc>
        <w:tc>
          <w:tcPr>
            <w:tcW w:w="8910" w:type="dxa"/>
          </w:tcPr>
          <w:p w14:paraId="5057F33F" w14:textId="6FE26B7B" w:rsidR="008128F4" w:rsidRDefault="00D414D9" w:rsidP="008128F4">
            <w:pPr>
              <w:pStyle w:val="NormalWeb"/>
              <w:spacing w:before="0" w:beforeAutospacing="0" w:after="0" w:afterAutospacing="0" w:line="480" w:lineRule="auto"/>
              <w:rPr>
                <w:color w:val="0E101A"/>
                <w:highlight w:val="yellow"/>
              </w:rPr>
            </w:pPr>
            <w:r w:rsidRPr="00D414D9">
              <w:rPr>
                <w:rFonts w:ascii="Arial" w:hAnsi="Arial" w:cs="Arial"/>
                <w:color w:val="0E101A"/>
              </w:rPr>
              <w:t>Controls are measured, performance targets are defined, results regularly reviewed by management</w:t>
            </w:r>
          </w:p>
        </w:tc>
      </w:tr>
      <w:tr w:rsidR="008128F4" w14:paraId="0478A4CD" w14:textId="77777777" w:rsidTr="008128F4">
        <w:tc>
          <w:tcPr>
            <w:tcW w:w="2430" w:type="dxa"/>
          </w:tcPr>
          <w:p w14:paraId="157849CB" w14:textId="2C64337A" w:rsidR="008128F4" w:rsidRDefault="008128F4" w:rsidP="008128F4">
            <w:pPr>
              <w:pStyle w:val="NormalWeb"/>
              <w:spacing w:before="0" w:beforeAutospacing="0" w:after="0" w:afterAutospacing="0" w:line="480" w:lineRule="auto"/>
              <w:rPr>
                <w:color w:val="0E101A"/>
                <w:highlight w:val="yellow"/>
              </w:rPr>
            </w:pPr>
            <w:r w:rsidRPr="00810D2B">
              <w:rPr>
                <w:rFonts w:ascii="Arial" w:hAnsi="Arial" w:cs="Arial"/>
                <w:color w:val="0E101A"/>
              </w:rPr>
              <w:t>Level 5</w:t>
            </w:r>
            <w:r>
              <w:rPr>
                <w:rFonts w:ascii="Arial" w:hAnsi="Arial" w:cs="Arial"/>
                <w:color w:val="0E101A"/>
              </w:rPr>
              <w:t xml:space="preserve"> - </w:t>
            </w:r>
            <w:r w:rsidRPr="00810D2B">
              <w:rPr>
                <w:rFonts w:ascii="Arial" w:hAnsi="Arial" w:cs="Arial"/>
                <w:color w:val="0E101A"/>
              </w:rPr>
              <w:t>Optimized</w:t>
            </w:r>
          </w:p>
        </w:tc>
        <w:tc>
          <w:tcPr>
            <w:tcW w:w="8910" w:type="dxa"/>
          </w:tcPr>
          <w:p w14:paraId="42B3BD79" w14:textId="378F8B36" w:rsidR="008128F4" w:rsidRDefault="00D414D9" w:rsidP="008128F4">
            <w:pPr>
              <w:pStyle w:val="NormalWeb"/>
              <w:spacing w:before="0" w:beforeAutospacing="0" w:after="0" w:afterAutospacing="0" w:line="480" w:lineRule="auto"/>
              <w:rPr>
                <w:color w:val="0E101A"/>
                <w:highlight w:val="yellow"/>
              </w:rPr>
            </w:pPr>
            <w:r w:rsidRPr="00D414D9">
              <w:rPr>
                <w:rFonts w:ascii="Arial" w:hAnsi="Arial" w:cs="Arial"/>
                <w:color w:val="0E101A"/>
              </w:rPr>
              <w:t>Practices continuously improved using metrics, lessons learned, threat intelligence</w:t>
            </w:r>
          </w:p>
        </w:tc>
      </w:tr>
    </w:tbl>
    <w:p w14:paraId="270D5E43" w14:textId="77777777" w:rsidR="004C2EC4" w:rsidRPr="008128F4" w:rsidRDefault="004C2EC4" w:rsidP="0073134A">
      <w:pPr>
        <w:pStyle w:val="NormalWeb"/>
        <w:spacing w:before="0" w:beforeAutospacing="0" w:after="0" w:afterAutospacing="0" w:line="480" w:lineRule="auto"/>
        <w:rPr>
          <w:color w:val="0E101A"/>
        </w:rPr>
      </w:pPr>
    </w:p>
    <w:p w14:paraId="6A091C02" w14:textId="77777777" w:rsidR="0073134A" w:rsidRDefault="0073134A" w:rsidP="00C97E22">
      <w:pPr>
        <w:pStyle w:val="NormalWeb"/>
        <w:spacing w:before="0" w:beforeAutospacing="0" w:after="0" w:afterAutospacing="0" w:line="480" w:lineRule="auto"/>
        <w:ind w:firstLine="720"/>
        <w:rPr>
          <w:color w:val="0E101A"/>
        </w:rPr>
      </w:pPr>
      <w:r w:rsidRPr="008128F4">
        <w:rPr>
          <w:color w:val="0E101A"/>
        </w:rPr>
        <w:t>To make the levels concrete, consider a CSF Identify category such as asset management. At Level 1, a mid-sized organization may have no centralized asset inventory, relying on individual technicians' knowledge of systems. At Level 2, the organization maintains a spreadsheet of key servers and networking devices, updated intermittently in response to informal requests. At Level 3, a catalog of assets exists with defined ownership and update procedures, and staff understand their responsibilities for maintaining the inventory. At Level 4, asset data is regularly reconciled with purchasing, configuration management, and vulnerability scanning results, and discrepancies lead to specific corrective actions. At Level 5, asset management is tightly integrated with change management, risk assessment, and incident response, with dashboards supporting timely decision-making.</w:t>
      </w:r>
    </w:p>
    <w:p w14:paraId="4F4A4577" w14:textId="4BC75081" w:rsidR="00DC0D4A" w:rsidRPr="005344D8" w:rsidRDefault="0073134A" w:rsidP="005344D8">
      <w:pPr>
        <w:pStyle w:val="NormalWeb"/>
        <w:spacing w:before="0" w:beforeAutospacing="0" w:after="0" w:afterAutospacing="0" w:line="480" w:lineRule="auto"/>
        <w:ind w:firstLine="720"/>
        <w:rPr>
          <w:color w:val="0E101A"/>
        </w:rPr>
      </w:pPr>
      <w:r>
        <w:rPr>
          <w:color w:val="0E101A"/>
        </w:rPr>
        <w:t xml:space="preserve">To support consistent evaluation, assessors score each CSF category using evidence-based criteria aligned to the five maturity levels. Evidence may include policies, procedures, systems, security logs, test results, training records, configuration baselines, meeting minutes, </w:t>
      </w:r>
      <w:r>
        <w:rPr>
          <w:color w:val="0E101A"/>
        </w:rPr>
        <w:lastRenderedPageBreak/>
        <w:t>and governance reporting artifacts. A standardized scoring rubric provides descriptors for each score. Table 2 presents the rubric used to rate capabilities within CSF categories.</w:t>
      </w:r>
    </w:p>
    <w:p w14:paraId="463A1E7B" w14:textId="05E57871" w:rsidR="0073134A" w:rsidRPr="00C97E22" w:rsidRDefault="0073134A" w:rsidP="0073134A">
      <w:pPr>
        <w:pStyle w:val="NormalWeb"/>
        <w:spacing w:before="0" w:beforeAutospacing="0" w:after="0" w:afterAutospacing="0" w:line="480" w:lineRule="auto"/>
        <w:rPr>
          <w:b/>
          <w:bCs/>
          <w:color w:val="0E101A"/>
        </w:rPr>
      </w:pPr>
      <w:r w:rsidRPr="00C97E22">
        <w:rPr>
          <w:b/>
          <w:bCs/>
          <w:color w:val="0E101A"/>
        </w:rPr>
        <w:t>Table 2</w:t>
      </w:r>
    </w:p>
    <w:p w14:paraId="3EB01EA3" w14:textId="77777777" w:rsidR="0073134A" w:rsidRDefault="0073134A" w:rsidP="0073134A">
      <w:pPr>
        <w:pStyle w:val="NormalWeb"/>
        <w:spacing w:before="0" w:beforeAutospacing="0" w:after="0" w:afterAutospacing="0" w:line="480" w:lineRule="auto"/>
        <w:rPr>
          <w:color w:val="0E101A"/>
        </w:rPr>
      </w:pPr>
      <w:r>
        <w:rPr>
          <w:rStyle w:val="Emphasis"/>
          <w:rFonts w:eastAsiaTheme="majorEastAsia"/>
          <w:color w:val="0E101A"/>
        </w:rPr>
        <w:t>Self-Assessment Scoring Rubric</w:t>
      </w:r>
    </w:p>
    <w:tbl>
      <w:tblPr>
        <w:tblStyle w:val="TableGrid"/>
        <w:tblW w:w="0" w:type="auto"/>
        <w:tblLook w:val="04A0" w:firstRow="1" w:lastRow="0" w:firstColumn="1" w:lastColumn="0" w:noHBand="0" w:noVBand="1"/>
      </w:tblPr>
      <w:tblGrid>
        <w:gridCol w:w="723"/>
        <w:gridCol w:w="8627"/>
      </w:tblGrid>
      <w:tr w:rsidR="008128F4" w14:paraId="00A8A95A" w14:textId="77777777" w:rsidTr="00323E7A">
        <w:tc>
          <w:tcPr>
            <w:tcW w:w="723" w:type="dxa"/>
          </w:tcPr>
          <w:p w14:paraId="624A486C" w14:textId="6206029A" w:rsidR="008128F4" w:rsidRDefault="008128F4" w:rsidP="00323E7A">
            <w:pPr>
              <w:pStyle w:val="NormalWeb"/>
              <w:spacing w:before="0" w:beforeAutospacing="0" w:after="0" w:afterAutospacing="0" w:line="480" w:lineRule="auto"/>
              <w:jc w:val="center"/>
              <w:rPr>
                <w:color w:val="0E101A"/>
                <w:highlight w:val="yellow"/>
              </w:rPr>
            </w:pPr>
            <w:r w:rsidRPr="00323E7A">
              <w:rPr>
                <w:color w:val="0E101A"/>
              </w:rPr>
              <w:t>score</w:t>
            </w:r>
          </w:p>
        </w:tc>
        <w:tc>
          <w:tcPr>
            <w:tcW w:w="8627" w:type="dxa"/>
          </w:tcPr>
          <w:p w14:paraId="56C93950" w14:textId="4EE753AF" w:rsidR="008128F4" w:rsidRDefault="00323E7A" w:rsidP="00323E7A">
            <w:pPr>
              <w:pStyle w:val="NormalWeb"/>
              <w:spacing w:before="0" w:beforeAutospacing="0" w:after="0" w:afterAutospacing="0" w:line="480" w:lineRule="auto"/>
              <w:jc w:val="center"/>
              <w:rPr>
                <w:color w:val="0E101A"/>
                <w:highlight w:val="yellow"/>
              </w:rPr>
            </w:pPr>
            <w:r w:rsidRPr="00323E7A">
              <w:rPr>
                <w:color w:val="0E101A"/>
              </w:rPr>
              <w:t>Assessment Criteria</w:t>
            </w:r>
          </w:p>
        </w:tc>
      </w:tr>
      <w:tr w:rsidR="008128F4" w14:paraId="3A509A44" w14:textId="77777777" w:rsidTr="00323E7A">
        <w:tc>
          <w:tcPr>
            <w:tcW w:w="723" w:type="dxa"/>
          </w:tcPr>
          <w:p w14:paraId="61759BC3" w14:textId="00247787" w:rsidR="008128F4" w:rsidRPr="00323E7A" w:rsidRDefault="00323E7A" w:rsidP="0073134A">
            <w:pPr>
              <w:pStyle w:val="NormalWeb"/>
              <w:spacing w:before="0" w:beforeAutospacing="0" w:after="0" w:afterAutospacing="0" w:line="480" w:lineRule="auto"/>
              <w:rPr>
                <w:color w:val="0E101A"/>
              </w:rPr>
            </w:pPr>
            <w:r w:rsidRPr="00323E7A">
              <w:rPr>
                <w:color w:val="0E101A"/>
              </w:rPr>
              <w:t>1</w:t>
            </w:r>
          </w:p>
        </w:tc>
        <w:tc>
          <w:tcPr>
            <w:tcW w:w="8627" w:type="dxa"/>
          </w:tcPr>
          <w:p w14:paraId="77E57F46" w14:textId="44CD0A70" w:rsidR="008128F4" w:rsidRDefault="00323E7A" w:rsidP="0073134A">
            <w:pPr>
              <w:pStyle w:val="NormalWeb"/>
              <w:spacing w:before="0" w:beforeAutospacing="0" w:after="0" w:afterAutospacing="0" w:line="480" w:lineRule="auto"/>
              <w:rPr>
                <w:color w:val="0E101A"/>
                <w:highlight w:val="yellow"/>
              </w:rPr>
            </w:pPr>
            <w:r w:rsidRPr="00810D2B">
              <w:rPr>
                <w:rFonts w:ascii="Arial" w:hAnsi="Arial" w:cs="Arial"/>
                <w:color w:val="0E101A"/>
              </w:rPr>
              <w:t>Control absent or ad hoc</w:t>
            </w:r>
          </w:p>
        </w:tc>
      </w:tr>
      <w:tr w:rsidR="008128F4" w14:paraId="38FB2150" w14:textId="77777777" w:rsidTr="00323E7A">
        <w:tc>
          <w:tcPr>
            <w:tcW w:w="723" w:type="dxa"/>
          </w:tcPr>
          <w:p w14:paraId="413AE3AB" w14:textId="120A35E3" w:rsidR="008128F4" w:rsidRPr="00323E7A" w:rsidRDefault="00323E7A" w:rsidP="0073134A">
            <w:pPr>
              <w:pStyle w:val="NormalWeb"/>
              <w:spacing w:before="0" w:beforeAutospacing="0" w:after="0" w:afterAutospacing="0" w:line="480" w:lineRule="auto"/>
              <w:rPr>
                <w:color w:val="0E101A"/>
              </w:rPr>
            </w:pPr>
            <w:r w:rsidRPr="00323E7A">
              <w:rPr>
                <w:color w:val="0E101A"/>
              </w:rPr>
              <w:t>2</w:t>
            </w:r>
          </w:p>
        </w:tc>
        <w:tc>
          <w:tcPr>
            <w:tcW w:w="8627" w:type="dxa"/>
          </w:tcPr>
          <w:p w14:paraId="0B3CDD1C" w14:textId="28C0CECE" w:rsidR="008128F4" w:rsidRDefault="00323E7A" w:rsidP="0073134A">
            <w:pPr>
              <w:pStyle w:val="NormalWeb"/>
              <w:spacing w:before="0" w:beforeAutospacing="0" w:after="0" w:afterAutospacing="0" w:line="480" w:lineRule="auto"/>
              <w:rPr>
                <w:color w:val="0E101A"/>
                <w:highlight w:val="yellow"/>
              </w:rPr>
            </w:pPr>
            <w:r w:rsidRPr="00810D2B">
              <w:rPr>
                <w:rFonts w:ascii="Arial" w:hAnsi="Arial" w:cs="Arial"/>
                <w:color w:val="0E101A"/>
              </w:rPr>
              <w:t>Control partially implemented</w:t>
            </w:r>
          </w:p>
        </w:tc>
      </w:tr>
      <w:tr w:rsidR="00323E7A" w14:paraId="1F4910C1" w14:textId="77777777" w:rsidTr="00323E7A">
        <w:tc>
          <w:tcPr>
            <w:tcW w:w="723" w:type="dxa"/>
          </w:tcPr>
          <w:p w14:paraId="1539BF00" w14:textId="6AD264C6" w:rsidR="00323E7A" w:rsidRPr="00323E7A" w:rsidRDefault="00323E7A" w:rsidP="00323E7A">
            <w:pPr>
              <w:pStyle w:val="NormalWeb"/>
              <w:spacing w:before="0" w:beforeAutospacing="0" w:after="0" w:afterAutospacing="0" w:line="480" w:lineRule="auto"/>
              <w:rPr>
                <w:color w:val="0E101A"/>
              </w:rPr>
            </w:pPr>
            <w:r w:rsidRPr="00323E7A">
              <w:rPr>
                <w:color w:val="0E101A"/>
              </w:rPr>
              <w:t>3</w:t>
            </w:r>
          </w:p>
        </w:tc>
        <w:tc>
          <w:tcPr>
            <w:tcW w:w="8627" w:type="dxa"/>
          </w:tcPr>
          <w:p w14:paraId="63611AAB" w14:textId="4069D1BB" w:rsidR="00323E7A" w:rsidRDefault="00323E7A" w:rsidP="00323E7A">
            <w:pPr>
              <w:pStyle w:val="NormalWeb"/>
              <w:spacing w:before="0" w:beforeAutospacing="0" w:after="0" w:afterAutospacing="0" w:line="480" w:lineRule="auto"/>
              <w:rPr>
                <w:color w:val="0E101A"/>
                <w:highlight w:val="yellow"/>
              </w:rPr>
            </w:pPr>
            <w:r w:rsidRPr="00810D2B">
              <w:rPr>
                <w:rFonts w:ascii="Arial" w:hAnsi="Arial" w:cs="Arial"/>
                <w:color w:val="0E101A"/>
              </w:rPr>
              <w:t>Control fully implemented and documented</w:t>
            </w:r>
          </w:p>
        </w:tc>
      </w:tr>
      <w:tr w:rsidR="00323E7A" w14:paraId="4211DAF7" w14:textId="77777777" w:rsidTr="00323E7A">
        <w:tc>
          <w:tcPr>
            <w:tcW w:w="723" w:type="dxa"/>
          </w:tcPr>
          <w:p w14:paraId="51146E8A" w14:textId="2713A5A1" w:rsidR="00323E7A" w:rsidRPr="00323E7A" w:rsidRDefault="00323E7A" w:rsidP="00323E7A">
            <w:pPr>
              <w:pStyle w:val="NormalWeb"/>
              <w:spacing w:before="0" w:beforeAutospacing="0" w:after="0" w:afterAutospacing="0" w:line="480" w:lineRule="auto"/>
              <w:rPr>
                <w:color w:val="0E101A"/>
              </w:rPr>
            </w:pPr>
            <w:r w:rsidRPr="00323E7A">
              <w:rPr>
                <w:color w:val="0E101A"/>
              </w:rPr>
              <w:t>4</w:t>
            </w:r>
          </w:p>
        </w:tc>
        <w:tc>
          <w:tcPr>
            <w:tcW w:w="8627" w:type="dxa"/>
          </w:tcPr>
          <w:p w14:paraId="17E18757" w14:textId="651A4F25" w:rsidR="00323E7A" w:rsidRDefault="00323E7A" w:rsidP="00323E7A">
            <w:pPr>
              <w:pStyle w:val="NormalWeb"/>
              <w:spacing w:before="0" w:beforeAutospacing="0" w:after="0" w:afterAutospacing="0" w:line="480" w:lineRule="auto"/>
              <w:rPr>
                <w:color w:val="0E101A"/>
                <w:highlight w:val="yellow"/>
              </w:rPr>
            </w:pPr>
            <w:r w:rsidRPr="00810D2B">
              <w:rPr>
                <w:rFonts w:ascii="Arial" w:hAnsi="Arial" w:cs="Arial"/>
                <w:color w:val="0E101A"/>
              </w:rPr>
              <w:t>Control measured and actively managed</w:t>
            </w:r>
          </w:p>
        </w:tc>
      </w:tr>
      <w:tr w:rsidR="00323E7A" w14:paraId="29447F1C" w14:textId="77777777" w:rsidTr="00323E7A">
        <w:tc>
          <w:tcPr>
            <w:tcW w:w="723" w:type="dxa"/>
          </w:tcPr>
          <w:p w14:paraId="4209FEB6" w14:textId="28537DE9" w:rsidR="00323E7A" w:rsidRPr="00323E7A" w:rsidRDefault="00323E7A" w:rsidP="00323E7A">
            <w:pPr>
              <w:pStyle w:val="NormalWeb"/>
              <w:spacing w:before="0" w:beforeAutospacing="0" w:after="0" w:afterAutospacing="0" w:line="480" w:lineRule="auto"/>
              <w:rPr>
                <w:color w:val="0E101A"/>
              </w:rPr>
            </w:pPr>
            <w:r w:rsidRPr="00323E7A">
              <w:rPr>
                <w:color w:val="0E101A"/>
              </w:rPr>
              <w:t>5</w:t>
            </w:r>
          </w:p>
        </w:tc>
        <w:tc>
          <w:tcPr>
            <w:tcW w:w="8627" w:type="dxa"/>
          </w:tcPr>
          <w:p w14:paraId="147D62D0" w14:textId="4C9EDDCB" w:rsidR="00323E7A" w:rsidRDefault="00323E7A" w:rsidP="00323E7A">
            <w:pPr>
              <w:pStyle w:val="NormalWeb"/>
              <w:spacing w:before="0" w:beforeAutospacing="0" w:after="0" w:afterAutospacing="0" w:line="480" w:lineRule="auto"/>
              <w:rPr>
                <w:color w:val="0E101A"/>
                <w:highlight w:val="yellow"/>
              </w:rPr>
            </w:pPr>
            <w:r w:rsidRPr="00810D2B">
              <w:rPr>
                <w:rFonts w:ascii="Arial" w:hAnsi="Arial" w:cs="Arial"/>
                <w:color w:val="0E101A"/>
              </w:rPr>
              <w:t>Control optimized and continuously improved</w:t>
            </w:r>
          </w:p>
        </w:tc>
      </w:tr>
    </w:tbl>
    <w:p w14:paraId="0235AEEC" w14:textId="0E768236" w:rsidR="008128F4" w:rsidRDefault="008128F4" w:rsidP="0073134A">
      <w:pPr>
        <w:pStyle w:val="NormalWeb"/>
        <w:spacing w:before="0" w:beforeAutospacing="0" w:after="0" w:afterAutospacing="0" w:line="480" w:lineRule="auto"/>
        <w:rPr>
          <w:color w:val="0E101A"/>
          <w:highlight w:val="yellow"/>
        </w:rPr>
      </w:pPr>
    </w:p>
    <w:p w14:paraId="58CE72C0" w14:textId="77777777" w:rsidR="00330D9B" w:rsidRDefault="00DC0D4A" w:rsidP="005344D8">
      <w:pPr>
        <w:pStyle w:val="NormalWeb"/>
        <w:spacing w:before="0" w:beforeAutospacing="0" w:after="0" w:afterAutospacing="0" w:line="480" w:lineRule="auto"/>
        <w:rPr>
          <w:color w:val="0E101A"/>
        </w:rPr>
      </w:pPr>
      <w:r>
        <w:rPr>
          <w:color w:val="0E101A"/>
        </w:rPr>
        <w:t xml:space="preserve">       </w:t>
      </w:r>
      <w:r w:rsidR="004F12FA" w:rsidRPr="004F12FA">
        <w:rPr>
          <w:color w:val="0E101A"/>
        </w:rPr>
        <w:t>In practice, each CSF category receives a score from 1 to 5 based on the rubric. Category scores are then averaged within each CSF function (Govern, Identify, Protect, Detect, Respond, and Recover) to produce function</w:t>
      </w:r>
      <w:r w:rsidR="004F12FA" w:rsidRPr="004F12FA">
        <w:rPr>
          <w:color w:val="0E101A"/>
        </w:rPr>
        <w:noBreakHyphen/>
        <w:t>level maturity scores that can be presented to executives. Organizations can also calculate an overall maturity score by averaging all category scores, while preserving the underlying detail for operational teams.</w:t>
      </w:r>
      <w:r w:rsidR="005344D8">
        <w:rPr>
          <w:color w:val="0E101A"/>
        </w:rPr>
        <w:t xml:space="preserve">     </w:t>
      </w:r>
    </w:p>
    <w:p w14:paraId="7C8075D2" w14:textId="77777777" w:rsidR="00472BA5" w:rsidRDefault="00330D9B" w:rsidP="005344D8">
      <w:pPr>
        <w:pStyle w:val="NormalWeb"/>
        <w:spacing w:before="0" w:beforeAutospacing="0" w:after="0" w:afterAutospacing="0" w:line="480" w:lineRule="auto"/>
        <w:rPr>
          <w:color w:val="0E101A"/>
        </w:rPr>
      </w:pPr>
      <w:r>
        <w:rPr>
          <w:color w:val="0E101A"/>
        </w:rPr>
        <w:t xml:space="preserve">      </w:t>
      </w:r>
      <w:r w:rsidR="005344D8">
        <w:rPr>
          <w:color w:val="0E101A"/>
        </w:rPr>
        <w:t xml:space="preserve">   </w:t>
      </w:r>
      <w:r w:rsidR="00472BA5" w:rsidRPr="00472BA5">
        <w:rPr>
          <w:color w:val="0E101A"/>
        </w:rPr>
        <w:t>The model intentionally allows uneven maturity across categories because mid-sized organizations must allocate limited resources to highest-risk areas. For example, an organization processing highly sensitive data might target higher maturity in Identity Management and Incident Response while accepting lower maturity in less critical categories, reflecting its risk appetite and business priorities.</w:t>
      </w:r>
      <w:r w:rsidR="00472BA5" w:rsidRPr="00472BA5">
        <w:rPr>
          <w:color w:val="0E101A"/>
        </w:rPr>
        <w:t xml:space="preserve"> </w:t>
      </w:r>
    </w:p>
    <w:p w14:paraId="77435295" w14:textId="4E4F655A" w:rsidR="0073134A" w:rsidRDefault="004F12FA" w:rsidP="004F12FA">
      <w:pPr>
        <w:pStyle w:val="NormalWeb"/>
        <w:spacing w:before="0" w:beforeAutospacing="0" w:after="0" w:afterAutospacing="0" w:line="480" w:lineRule="auto"/>
        <w:rPr>
          <w:color w:val="0E101A"/>
        </w:rPr>
      </w:pPr>
      <w:r>
        <w:rPr>
          <w:color w:val="0E101A"/>
        </w:rPr>
        <w:t xml:space="preserve">       </w:t>
      </w:r>
      <w:r w:rsidR="0073134A" w:rsidRPr="00323E7A">
        <w:rPr>
          <w:color w:val="0E101A"/>
        </w:rPr>
        <w:t xml:space="preserve">To illustrate, consider CSF category PR.AC-1, which relates to access control. A score of 1 might correspond to a situation in which user provisioning is handled informally via email with </w:t>
      </w:r>
      <w:r w:rsidR="0073134A" w:rsidRPr="00323E7A">
        <w:rPr>
          <w:color w:val="0E101A"/>
        </w:rPr>
        <w:lastRenderedPageBreak/>
        <w:t>limited oversight. A score of 3 would require documented access control policies, standardized account creation and termination processes, and consistent enforcement of password and multifactor authentication requirements. A score of 5 would indicate that access control metrics such as privileged account review frequency, orphaned accounts, and failed login patterns are tracked, analyzed, and used to refine access control strategies.</w:t>
      </w:r>
    </w:p>
    <w:p w14:paraId="6CC424C6" w14:textId="77777777" w:rsidR="0073134A" w:rsidRDefault="0073134A" w:rsidP="00DC79E2">
      <w:pPr>
        <w:pStyle w:val="NormalWeb"/>
        <w:spacing w:before="0" w:beforeAutospacing="0" w:after="0" w:afterAutospacing="0" w:line="480" w:lineRule="auto"/>
        <w:ind w:firstLine="720"/>
        <w:rPr>
          <w:color w:val="0E101A"/>
        </w:rPr>
      </w:pPr>
      <w:r>
        <w:rPr>
          <w:color w:val="0E101A"/>
        </w:rPr>
        <w:t>Scores can be aggregated by CSF function to provide an executive-level view of maturity while maintaining traceability at the category level for operational teams. The model does not prescribe minimum "acceptable" scores but instead supports decision-making by highlighting gaps between current and target maturity aligned with organizational context and risk tolerance. This approach encourages leaders to view maturity as a strategic parameter rather than a compliance checklist, supporting more nuanced conversations about risk appetite, investment trade-offs, and improvement timelines.</w:t>
      </w:r>
    </w:p>
    <w:p w14:paraId="13158AB7" w14:textId="6687A9EA" w:rsidR="00A118ED" w:rsidRPr="00A118ED" w:rsidRDefault="00A118ED" w:rsidP="00A118ED">
      <w:pPr>
        <w:pStyle w:val="NormalWeb"/>
        <w:spacing w:before="0" w:beforeAutospacing="0" w:after="0" w:afterAutospacing="0" w:line="480" w:lineRule="auto"/>
        <w:rPr>
          <w:b/>
          <w:bCs/>
          <w:color w:val="0E101A"/>
        </w:rPr>
      </w:pPr>
      <w:r w:rsidRPr="00A118ED">
        <w:rPr>
          <w:b/>
          <w:bCs/>
          <w:color w:val="0E101A"/>
        </w:rPr>
        <w:t>Assessment Workflow</w:t>
      </w:r>
    </w:p>
    <w:p w14:paraId="2954BF08" w14:textId="06C13959" w:rsidR="006B0BD9" w:rsidRPr="006B0BD9" w:rsidRDefault="006B0BD9" w:rsidP="006B0BD9">
      <w:pPr>
        <w:pStyle w:val="NormalWeb"/>
        <w:spacing w:before="0" w:beforeAutospacing="0" w:after="0" w:afterAutospacing="0" w:line="480" w:lineRule="auto"/>
        <w:rPr>
          <w:color w:val="0E101A"/>
        </w:rPr>
      </w:pPr>
      <w:r w:rsidRPr="006B0BD9">
        <w:rPr>
          <w:color w:val="0E101A"/>
        </w:rPr>
        <w:t>The assessment follows six numbered step</w:t>
      </w:r>
      <w:r>
        <w:rPr>
          <w:color w:val="0E101A"/>
        </w:rPr>
        <w:t>s</w:t>
      </w:r>
    </w:p>
    <w:p w14:paraId="3BC3A981" w14:textId="62AC8B85" w:rsidR="0073134A" w:rsidRDefault="00905AFA" w:rsidP="006B0BD9">
      <w:pPr>
        <w:pStyle w:val="NormalWeb"/>
        <w:numPr>
          <w:ilvl w:val="0"/>
          <w:numId w:val="2"/>
        </w:numPr>
        <w:spacing w:before="0" w:beforeAutospacing="0" w:after="0" w:afterAutospacing="0" w:line="480" w:lineRule="auto"/>
        <w:rPr>
          <w:color w:val="0E101A"/>
        </w:rPr>
      </w:pPr>
      <w:r>
        <w:rPr>
          <w:color w:val="0E101A"/>
        </w:rPr>
        <w:t>S</w:t>
      </w:r>
      <w:r w:rsidR="0073134A">
        <w:rPr>
          <w:color w:val="0E101A"/>
        </w:rPr>
        <w:t>coping and preparation</w:t>
      </w:r>
      <w:r w:rsidR="006B0BD9">
        <w:rPr>
          <w:color w:val="0E101A"/>
        </w:rPr>
        <w:t>: I</w:t>
      </w:r>
      <w:r w:rsidR="0073134A">
        <w:rPr>
          <w:color w:val="0E101A"/>
        </w:rPr>
        <w:t>dentify</w:t>
      </w:r>
      <w:r w:rsidR="006B0BD9">
        <w:rPr>
          <w:color w:val="0E101A"/>
        </w:rPr>
        <w:t xml:space="preserve"> </w:t>
      </w:r>
      <w:r w:rsidR="0073134A">
        <w:rPr>
          <w:color w:val="0E101A"/>
        </w:rPr>
        <w:t>relevant CSF categories, critical assets, and organizational risk drivers. In this step, the organization determines which business units, systems, and processes fall within scope and clarifies key drivers such as regulatory obligations, contractual requirements, and business continuity priorities. A cross-functional assessment team that includes representatives from IT, security, risk or compliance, and business leadership enhances accuracy and reduces bias associated with any single perspective (NIST, 2024). The team agrees on assessment objectives, timelines, and documentation standards, ensuring that participants understand how results will be used.</w:t>
      </w:r>
    </w:p>
    <w:p w14:paraId="5C4A9127" w14:textId="481A81F8" w:rsidR="0073134A" w:rsidRDefault="00905AFA" w:rsidP="00905AFA">
      <w:pPr>
        <w:pStyle w:val="NormalWeb"/>
        <w:spacing w:before="0" w:beforeAutospacing="0" w:after="0" w:afterAutospacing="0" w:line="480" w:lineRule="auto"/>
        <w:rPr>
          <w:color w:val="0E101A"/>
        </w:rPr>
      </w:pPr>
      <w:r>
        <w:rPr>
          <w:color w:val="0E101A"/>
        </w:rPr>
        <w:lastRenderedPageBreak/>
        <w:t>2.</w:t>
      </w:r>
      <w:r w:rsidR="0073134A">
        <w:rPr>
          <w:color w:val="0E101A"/>
        </w:rPr>
        <w:t xml:space="preserve"> </w:t>
      </w:r>
      <w:r>
        <w:rPr>
          <w:color w:val="0E101A"/>
        </w:rPr>
        <w:t>E</w:t>
      </w:r>
      <w:r w:rsidR="0073134A">
        <w:rPr>
          <w:color w:val="0E101A"/>
        </w:rPr>
        <w:t>vidence collection</w:t>
      </w:r>
      <w:r>
        <w:rPr>
          <w:color w:val="0E101A"/>
        </w:rPr>
        <w:t>:</w:t>
      </w:r>
      <w:r w:rsidR="0073134A">
        <w:rPr>
          <w:color w:val="0E101A"/>
        </w:rPr>
        <w:t xml:space="preserve"> </w:t>
      </w:r>
      <w:r>
        <w:rPr>
          <w:color w:val="0E101A"/>
        </w:rPr>
        <w:t>G</w:t>
      </w:r>
      <w:r w:rsidR="0073134A">
        <w:rPr>
          <w:color w:val="0E101A"/>
        </w:rPr>
        <w:t>ather relevant documentation and data needed to evaluate each CSF category. This may include security policies, standard operating procedures, network diagrams, logging configurations, training records, incident reports, and risk registers. Where formal documentation is lacking, interviews and workshops can be used to capture current practices and clarify informal workflows. The goal is to develop a realistic picture of how cybersecurity activities are actually performed, not merely how they are described in policy documents.</w:t>
      </w:r>
    </w:p>
    <w:p w14:paraId="33AF7676" w14:textId="52D03CC1" w:rsidR="0073134A" w:rsidRDefault="00905AFA" w:rsidP="00905AFA">
      <w:pPr>
        <w:pStyle w:val="NormalWeb"/>
        <w:spacing w:before="0" w:beforeAutospacing="0" w:after="0" w:afterAutospacing="0" w:line="480" w:lineRule="auto"/>
        <w:rPr>
          <w:color w:val="0E101A"/>
        </w:rPr>
      </w:pPr>
      <w:r>
        <w:rPr>
          <w:color w:val="0E101A"/>
        </w:rPr>
        <w:t>3.</w:t>
      </w:r>
      <w:r w:rsidR="0073134A">
        <w:rPr>
          <w:color w:val="0E101A"/>
        </w:rPr>
        <w:t xml:space="preserve"> </w:t>
      </w:r>
      <w:r>
        <w:rPr>
          <w:color w:val="0E101A"/>
        </w:rPr>
        <w:t>S</w:t>
      </w:r>
      <w:r w:rsidR="0073134A">
        <w:rPr>
          <w:color w:val="0E101A"/>
        </w:rPr>
        <w:t>coring</w:t>
      </w:r>
      <w:r>
        <w:rPr>
          <w:color w:val="0E101A"/>
        </w:rPr>
        <w:t xml:space="preserve"> workshop:</w:t>
      </w:r>
      <w:r w:rsidR="0073134A">
        <w:rPr>
          <w:color w:val="0E101A"/>
        </w:rPr>
        <w:t xml:space="preserve"> </w:t>
      </w:r>
      <w:r>
        <w:rPr>
          <w:color w:val="0E101A"/>
        </w:rPr>
        <w:t>E</w:t>
      </w:r>
      <w:r w:rsidR="0073134A">
        <w:rPr>
          <w:color w:val="0E101A"/>
        </w:rPr>
        <w:t>valuate each CSF category against the scoring rubric. Facilitated discussions help ensure that scores reflect consensus judgments rather than individual opinions. For each category, the team assigns a maturity score, records the rationale, and notes the evidence used. This documentation supports repeatability in future assessments and facilitates internal audit or external review if needed. Scoring sessions are typically conducted over multiple workshops to allow sufficient time for discussion and to minimize fatigue.</w:t>
      </w:r>
    </w:p>
    <w:p w14:paraId="6D6058EB" w14:textId="2C4B5786" w:rsidR="0073134A" w:rsidRDefault="00905AFA" w:rsidP="00905AFA">
      <w:pPr>
        <w:pStyle w:val="NormalWeb"/>
        <w:spacing w:before="0" w:beforeAutospacing="0" w:after="0" w:afterAutospacing="0" w:line="480" w:lineRule="auto"/>
        <w:rPr>
          <w:color w:val="0E101A"/>
        </w:rPr>
      </w:pPr>
      <w:r>
        <w:rPr>
          <w:color w:val="0E101A"/>
        </w:rPr>
        <w:t>4. A</w:t>
      </w:r>
      <w:r w:rsidR="0073134A">
        <w:rPr>
          <w:color w:val="0E101A"/>
        </w:rPr>
        <w:t>nalysis and prioritization</w:t>
      </w:r>
      <w:r>
        <w:rPr>
          <w:color w:val="0E101A"/>
        </w:rPr>
        <w:t>: A</w:t>
      </w:r>
      <w:r w:rsidR="0073134A">
        <w:rPr>
          <w:color w:val="0E101A"/>
        </w:rPr>
        <w:t>ggregate scores by function, category, and business unit to identify patterns and areas of concentrated risk. Categories that combine low maturity with high potential impact or likelihood become priority targets for remediation. Visual summaries, such as heat maps or radar charts, can help leadership quickly grasp where significant gaps exist. The team also identifies strengths and emerging capabilities that can be leveraged to accelerate improvement in related areas.</w:t>
      </w:r>
    </w:p>
    <w:p w14:paraId="24401739" w14:textId="35F21165" w:rsidR="0073134A" w:rsidRDefault="00905AFA" w:rsidP="00905AFA">
      <w:pPr>
        <w:pStyle w:val="NormalWeb"/>
        <w:spacing w:before="0" w:beforeAutospacing="0" w:after="0" w:afterAutospacing="0" w:line="480" w:lineRule="auto"/>
        <w:rPr>
          <w:color w:val="0E101A"/>
        </w:rPr>
      </w:pPr>
      <w:r>
        <w:rPr>
          <w:color w:val="0E101A"/>
        </w:rPr>
        <w:t>5.</w:t>
      </w:r>
      <w:r w:rsidR="0073134A">
        <w:rPr>
          <w:color w:val="0E101A"/>
        </w:rPr>
        <w:t xml:space="preserve"> </w:t>
      </w:r>
      <w:r>
        <w:rPr>
          <w:color w:val="0E101A"/>
        </w:rPr>
        <w:t>R</w:t>
      </w:r>
      <w:r w:rsidR="0073134A">
        <w:rPr>
          <w:color w:val="0E101A"/>
        </w:rPr>
        <w:t xml:space="preserve">oadmap </w:t>
      </w:r>
      <w:r>
        <w:rPr>
          <w:color w:val="0E101A"/>
        </w:rPr>
        <w:t>development: Define</w:t>
      </w:r>
      <w:r w:rsidR="0073134A">
        <w:rPr>
          <w:color w:val="0E101A"/>
        </w:rPr>
        <w:t xml:space="preserve"> actions</w:t>
      </w:r>
      <w:r>
        <w:rPr>
          <w:color w:val="0E101A"/>
        </w:rPr>
        <w:t>, e</w:t>
      </w:r>
      <w:r w:rsidR="0073134A">
        <w:rPr>
          <w:color w:val="0E101A"/>
        </w:rPr>
        <w:t>ach action includes a clear description, an accountable owner, required resources, and a timeline. Actions are grouped into near-term, medium-term, and long-term initiatives based on their impact and complexity. The roadmap aligns with existing planning and budgeting cycles, enabling improvements to be integrated into annual or multi-year investment plans.</w:t>
      </w:r>
    </w:p>
    <w:p w14:paraId="49C7B641" w14:textId="159C9382" w:rsidR="0073134A" w:rsidRDefault="00905AFA" w:rsidP="00905AFA">
      <w:pPr>
        <w:pStyle w:val="NormalWeb"/>
        <w:spacing w:before="0" w:beforeAutospacing="0" w:after="0" w:afterAutospacing="0" w:line="480" w:lineRule="auto"/>
        <w:rPr>
          <w:color w:val="0E101A"/>
        </w:rPr>
      </w:pPr>
      <w:r>
        <w:rPr>
          <w:color w:val="0E101A"/>
        </w:rPr>
        <w:lastRenderedPageBreak/>
        <w:t>6. F</w:t>
      </w:r>
      <w:r w:rsidR="0073134A">
        <w:rPr>
          <w:color w:val="0E101A"/>
        </w:rPr>
        <w:t>ollow-up and reassessment</w:t>
      </w:r>
      <w:r>
        <w:rPr>
          <w:color w:val="0E101A"/>
        </w:rPr>
        <w:t>:</w:t>
      </w:r>
      <w:r w:rsidR="0073134A">
        <w:rPr>
          <w:color w:val="0E101A"/>
        </w:rPr>
        <w:t xml:space="preserve"> </w:t>
      </w:r>
      <w:r w:rsidR="00E03D49" w:rsidRPr="00E03D49">
        <w:rPr>
          <w:color w:val="0E101A"/>
        </w:rPr>
        <w:t>Progress tracking schedules and reassessment triggers are defined. Maturity measurement integrates into governance routines like quarterly risk reviews.</w:t>
      </w:r>
      <w:r w:rsidR="0073134A">
        <w:rPr>
          <w:color w:val="0E101A"/>
        </w:rPr>
        <w:t xml:space="preserve"> This step also includes defining thresholds or triggers that might prompt interim assessments, such as major architectural changes, acquisitions, or significant incidents.</w:t>
      </w:r>
    </w:p>
    <w:p w14:paraId="1FF2E663" w14:textId="77777777" w:rsidR="00A118ED" w:rsidRDefault="00A118ED" w:rsidP="00DC79E2">
      <w:pPr>
        <w:pStyle w:val="NormalWeb"/>
        <w:spacing w:before="0" w:beforeAutospacing="0" w:after="0" w:afterAutospacing="0" w:line="480" w:lineRule="auto"/>
        <w:ind w:firstLine="720"/>
        <w:rPr>
          <w:color w:val="0E101A"/>
        </w:rPr>
      </w:pPr>
    </w:p>
    <w:p w14:paraId="0E8BB521" w14:textId="5E73D203" w:rsidR="00A118ED" w:rsidRPr="00C4023E" w:rsidRDefault="00A118ED" w:rsidP="00E03D49">
      <w:pPr>
        <w:pStyle w:val="NormalWeb"/>
        <w:spacing w:before="0" w:beforeAutospacing="0" w:after="0" w:afterAutospacing="0" w:line="480" w:lineRule="auto"/>
        <w:jc w:val="both"/>
        <w:rPr>
          <w:b/>
          <w:bCs/>
          <w:color w:val="0E101A"/>
        </w:rPr>
      </w:pPr>
      <w:r w:rsidRPr="00C4023E">
        <w:rPr>
          <w:b/>
          <w:bCs/>
          <w:color w:val="0E101A"/>
        </w:rPr>
        <w:t>Example Improvement Roadmap</w:t>
      </w:r>
    </w:p>
    <w:p w14:paraId="0DA7BF92" w14:textId="447D1B43" w:rsidR="0073134A" w:rsidRDefault="0073134A" w:rsidP="00DC79E2">
      <w:pPr>
        <w:pStyle w:val="NormalWeb"/>
        <w:spacing w:before="0" w:beforeAutospacing="0" w:after="0" w:afterAutospacing="0" w:line="480" w:lineRule="auto"/>
        <w:ind w:firstLine="720"/>
        <w:rPr>
          <w:color w:val="0E101A"/>
        </w:rPr>
      </w:pPr>
      <w:r>
        <w:rPr>
          <w:color w:val="0E101A"/>
        </w:rPr>
        <w:t xml:space="preserve">To ensure that the assessment produces actionable outcomes, the model converts findings into an </w:t>
      </w:r>
      <w:r w:rsidRPr="00A118ED">
        <w:rPr>
          <w:rFonts w:ascii="Courier New" w:hAnsi="Courier New" w:cs="Courier New"/>
          <w:b/>
          <w:bCs/>
          <w:color w:val="4D4D4C"/>
          <w:sz w:val="21"/>
          <w:szCs w:val="21"/>
        </w:rPr>
        <w:t>improvement</w:t>
      </w:r>
      <w:r>
        <w:rPr>
          <w:color w:val="0E101A"/>
        </w:rPr>
        <w:t xml:space="preserve"> roadmap that specifies actions, owners, and timelines. Table 3 illustrates an example roadmap derived from model outputs for a fictional mid-sized professional services firm with approximately 800 employees and a hybrid IT environment.</w:t>
      </w:r>
    </w:p>
    <w:p w14:paraId="776D035A" w14:textId="77777777" w:rsidR="0073134A" w:rsidRPr="00DC79E2" w:rsidRDefault="0073134A" w:rsidP="0073134A">
      <w:pPr>
        <w:pStyle w:val="NormalWeb"/>
        <w:spacing w:before="0" w:beforeAutospacing="0" w:after="0" w:afterAutospacing="0" w:line="480" w:lineRule="auto"/>
        <w:rPr>
          <w:b/>
          <w:bCs/>
          <w:color w:val="0E101A"/>
        </w:rPr>
      </w:pPr>
      <w:r w:rsidRPr="00DC79E2">
        <w:rPr>
          <w:b/>
          <w:bCs/>
          <w:color w:val="0E101A"/>
        </w:rPr>
        <w:t>Table 3</w:t>
      </w:r>
    </w:p>
    <w:p w14:paraId="2C268031" w14:textId="77777777" w:rsidR="0073134A" w:rsidRDefault="0073134A" w:rsidP="0073134A">
      <w:pPr>
        <w:pStyle w:val="NormalWeb"/>
        <w:spacing w:before="0" w:beforeAutospacing="0" w:after="0" w:afterAutospacing="0" w:line="480" w:lineRule="auto"/>
        <w:rPr>
          <w:color w:val="0E101A"/>
        </w:rPr>
      </w:pPr>
      <w:r>
        <w:rPr>
          <w:rStyle w:val="Emphasis"/>
          <w:rFonts w:eastAsiaTheme="majorEastAsia"/>
          <w:color w:val="0E101A"/>
        </w:rPr>
        <w:t>Example Improvement Roadmap</w:t>
      </w:r>
    </w:p>
    <w:tbl>
      <w:tblPr>
        <w:tblStyle w:val="TableGrid"/>
        <w:tblW w:w="0" w:type="auto"/>
        <w:tblLook w:val="04A0" w:firstRow="1" w:lastRow="0" w:firstColumn="1" w:lastColumn="0" w:noHBand="0" w:noVBand="1"/>
      </w:tblPr>
      <w:tblGrid>
        <w:gridCol w:w="1165"/>
        <w:gridCol w:w="1620"/>
        <w:gridCol w:w="6565"/>
      </w:tblGrid>
      <w:tr w:rsidR="00323E7A" w14:paraId="0EFD9873" w14:textId="77777777" w:rsidTr="00036AC9">
        <w:tc>
          <w:tcPr>
            <w:tcW w:w="1165" w:type="dxa"/>
          </w:tcPr>
          <w:p w14:paraId="23C0F8A5" w14:textId="320D7204" w:rsidR="00323E7A" w:rsidRDefault="00323E7A" w:rsidP="00323E7A">
            <w:pPr>
              <w:pStyle w:val="NormalWeb"/>
              <w:spacing w:before="0" w:beforeAutospacing="0" w:after="0" w:afterAutospacing="0" w:line="480" w:lineRule="auto"/>
              <w:jc w:val="center"/>
              <w:rPr>
                <w:color w:val="0E101A"/>
                <w:highlight w:val="yellow"/>
              </w:rPr>
            </w:pPr>
            <w:r w:rsidRPr="00323E7A">
              <w:rPr>
                <w:color w:val="0E101A"/>
              </w:rPr>
              <w:t>Priority</w:t>
            </w:r>
          </w:p>
        </w:tc>
        <w:tc>
          <w:tcPr>
            <w:tcW w:w="1620" w:type="dxa"/>
          </w:tcPr>
          <w:p w14:paraId="3D0F9D05" w14:textId="698BE288" w:rsidR="00323E7A" w:rsidRDefault="00323E7A" w:rsidP="00323E7A">
            <w:pPr>
              <w:pStyle w:val="NormalWeb"/>
              <w:spacing w:before="0" w:beforeAutospacing="0" w:after="0" w:afterAutospacing="0" w:line="480" w:lineRule="auto"/>
              <w:jc w:val="center"/>
              <w:rPr>
                <w:color w:val="0E101A"/>
                <w:highlight w:val="yellow"/>
              </w:rPr>
            </w:pPr>
            <w:r w:rsidRPr="00323E7A">
              <w:rPr>
                <w:color w:val="0E101A"/>
              </w:rPr>
              <w:t>CSF Function</w:t>
            </w:r>
          </w:p>
        </w:tc>
        <w:tc>
          <w:tcPr>
            <w:tcW w:w="6565" w:type="dxa"/>
          </w:tcPr>
          <w:p w14:paraId="1B07A2CF" w14:textId="59624E93" w:rsidR="00323E7A" w:rsidRDefault="00323E7A" w:rsidP="00036AC9">
            <w:pPr>
              <w:pStyle w:val="NormalWeb"/>
              <w:spacing w:before="0" w:beforeAutospacing="0" w:after="0" w:afterAutospacing="0" w:line="480" w:lineRule="auto"/>
              <w:jc w:val="center"/>
              <w:rPr>
                <w:color w:val="0E101A"/>
                <w:highlight w:val="yellow"/>
              </w:rPr>
            </w:pPr>
            <w:r w:rsidRPr="00036AC9">
              <w:rPr>
                <w:color w:val="0E101A"/>
              </w:rPr>
              <w:t>Improvement Action</w:t>
            </w:r>
          </w:p>
        </w:tc>
      </w:tr>
      <w:tr w:rsidR="00036AC9" w14:paraId="45DD7059" w14:textId="77777777" w:rsidTr="00036AC9">
        <w:tc>
          <w:tcPr>
            <w:tcW w:w="1165" w:type="dxa"/>
          </w:tcPr>
          <w:p w14:paraId="31CE1E90" w14:textId="6B64680C" w:rsidR="00036AC9" w:rsidRPr="00036AC9" w:rsidRDefault="00036AC9" w:rsidP="00036AC9">
            <w:pPr>
              <w:pStyle w:val="NormalWeb"/>
              <w:spacing w:before="0" w:beforeAutospacing="0" w:after="0" w:afterAutospacing="0" w:line="480" w:lineRule="auto"/>
              <w:rPr>
                <w:color w:val="0E101A"/>
              </w:rPr>
            </w:pPr>
            <w:r w:rsidRPr="00036AC9">
              <w:rPr>
                <w:color w:val="0E101A"/>
              </w:rPr>
              <w:t>High</w:t>
            </w:r>
          </w:p>
        </w:tc>
        <w:tc>
          <w:tcPr>
            <w:tcW w:w="1620" w:type="dxa"/>
          </w:tcPr>
          <w:p w14:paraId="4B774949" w14:textId="5D824154" w:rsidR="00036AC9" w:rsidRPr="00036AC9" w:rsidRDefault="00036AC9" w:rsidP="00036AC9">
            <w:pPr>
              <w:pStyle w:val="NormalWeb"/>
              <w:spacing w:before="0" w:beforeAutospacing="0" w:after="0" w:afterAutospacing="0" w:line="480" w:lineRule="auto"/>
              <w:rPr>
                <w:color w:val="0E101A"/>
              </w:rPr>
            </w:pPr>
            <w:r w:rsidRPr="00036AC9">
              <w:rPr>
                <w:color w:val="0E101A"/>
              </w:rPr>
              <w:t>Identify</w:t>
            </w:r>
          </w:p>
        </w:tc>
        <w:tc>
          <w:tcPr>
            <w:tcW w:w="6565" w:type="dxa"/>
          </w:tcPr>
          <w:p w14:paraId="3A436098" w14:textId="3C086ED2" w:rsidR="00036AC9" w:rsidRDefault="00036AC9" w:rsidP="00036AC9">
            <w:pPr>
              <w:pStyle w:val="NormalWeb"/>
              <w:spacing w:before="0" w:beforeAutospacing="0" w:after="0" w:afterAutospacing="0" w:line="480" w:lineRule="auto"/>
              <w:rPr>
                <w:color w:val="0E101A"/>
                <w:highlight w:val="yellow"/>
              </w:rPr>
            </w:pPr>
            <w:r w:rsidRPr="00810D2B">
              <w:rPr>
                <w:rFonts w:ascii="Arial" w:hAnsi="Arial" w:cs="Arial"/>
                <w:color w:val="0E101A"/>
              </w:rPr>
              <w:t>formalize asset inventory and ownership</w:t>
            </w:r>
          </w:p>
        </w:tc>
      </w:tr>
      <w:tr w:rsidR="00036AC9" w14:paraId="145C19A9" w14:textId="77777777" w:rsidTr="00036AC9">
        <w:tc>
          <w:tcPr>
            <w:tcW w:w="1165" w:type="dxa"/>
          </w:tcPr>
          <w:p w14:paraId="5B2BEAF6" w14:textId="17B80F80" w:rsidR="00036AC9" w:rsidRPr="00036AC9" w:rsidRDefault="00036AC9" w:rsidP="00036AC9">
            <w:pPr>
              <w:pStyle w:val="NormalWeb"/>
              <w:spacing w:before="0" w:beforeAutospacing="0" w:after="0" w:afterAutospacing="0" w:line="480" w:lineRule="auto"/>
              <w:rPr>
                <w:color w:val="0E101A"/>
              </w:rPr>
            </w:pPr>
            <w:r w:rsidRPr="00036AC9">
              <w:rPr>
                <w:color w:val="0E101A"/>
              </w:rPr>
              <w:t>Medium</w:t>
            </w:r>
          </w:p>
        </w:tc>
        <w:tc>
          <w:tcPr>
            <w:tcW w:w="1620" w:type="dxa"/>
          </w:tcPr>
          <w:p w14:paraId="3EE1B709" w14:textId="2D006B13" w:rsidR="00036AC9" w:rsidRPr="00036AC9" w:rsidRDefault="00036AC9" w:rsidP="00036AC9">
            <w:pPr>
              <w:pStyle w:val="NormalWeb"/>
              <w:spacing w:before="0" w:beforeAutospacing="0" w:after="0" w:afterAutospacing="0" w:line="480" w:lineRule="auto"/>
              <w:rPr>
                <w:color w:val="0E101A"/>
              </w:rPr>
            </w:pPr>
            <w:r w:rsidRPr="00036AC9">
              <w:rPr>
                <w:color w:val="0E101A"/>
              </w:rPr>
              <w:t>Detect</w:t>
            </w:r>
          </w:p>
        </w:tc>
        <w:tc>
          <w:tcPr>
            <w:tcW w:w="6565" w:type="dxa"/>
          </w:tcPr>
          <w:p w14:paraId="74379BAC" w14:textId="2A903E17" w:rsidR="00036AC9" w:rsidRDefault="00036AC9" w:rsidP="00036AC9">
            <w:pPr>
              <w:pStyle w:val="NormalWeb"/>
              <w:spacing w:before="0" w:beforeAutospacing="0" w:after="0" w:afterAutospacing="0" w:line="480" w:lineRule="auto"/>
              <w:rPr>
                <w:color w:val="0E101A"/>
                <w:highlight w:val="yellow"/>
              </w:rPr>
            </w:pPr>
            <w:r>
              <w:rPr>
                <w:rFonts w:ascii="Arial" w:hAnsi="Arial" w:cs="Arial"/>
                <w:color w:val="0E101A"/>
              </w:rPr>
              <w:t xml:space="preserve">Enhance </w:t>
            </w:r>
            <w:r w:rsidRPr="00810D2B">
              <w:rPr>
                <w:rFonts w:ascii="Arial" w:hAnsi="Arial" w:cs="Arial"/>
                <w:color w:val="0E101A"/>
              </w:rPr>
              <w:t xml:space="preserve">logging and monitoring processes </w:t>
            </w:r>
          </w:p>
        </w:tc>
      </w:tr>
      <w:tr w:rsidR="00036AC9" w14:paraId="398869F1" w14:textId="77777777" w:rsidTr="00036AC9">
        <w:tc>
          <w:tcPr>
            <w:tcW w:w="1165" w:type="dxa"/>
          </w:tcPr>
          <w:p w14:paraId="2C512BC2" w14:textId="1529DCF7" w:rsidR="00036AC9" w:rsidRPr="00036AC9" w:rsidRDefault="00036AC9" w:rsidP="00036AC9">
            <w:pPr>
              <w:pStyle w:val="NormalWeb"/>
              <w:spacing w:before="0" w:beforeAutospacing="0" w:after="0" w:afterAutospacing="0" w:line="480" w:lineRule="auto"/>
              <w:rPr>
                <w:color w:val="0E101A"/>
              </w:rPr>
            </w:pPr>
            <w:r w:rsidRPr="00036AC9">
              <w:rPr>
                <w:color w:val="0E101A"/>
              </w:rPr>
              <w:t>Low</w:t>
            </w:r>
          </w:p>
        </w:tc>
        <w:tc>
          <w:tcPr>
            <w:tcW w:w="1620" w:type="dxa"/>
          </w:tcPr>
          <w:p w14:paraId="41087044" w14:textId="03211E70" w:rsidR="00036AC9" w:rsidRPr="00036AC9" w:rsidRDefault="00036AC9" w:rsidP="00036AC9">
            <w:pPr>
              <w:pStyle w:val="NormalWeb"/>
              <w:spacing w:before="0" w:beforeAutospacing="0" w:after="0" w:afterAutospacing="0" w:line="480" w:lineRule="auto"/>
              <w:rPr>
                <w:color w:val="0E101A"/>
              </w:rPr>
            </w:pPr>
            <w:r w:rsidRPr="00036AC9">
              <w:rPr>
                <w:color w:val="0E101A"/>
              </w:rPr>
              <w:t>Recover</w:t>
            </w:r>
          </w:p>
        </w:tc>
        <w:tc>
          <w:tcPr>
            <w:tcW w:w="6565" w:type="dxa"/>
          </w:tcPr>
          <w:p w14:paraId="7BC7C2C8" w14:textId="7AAABCFD" w:rsidR="00036AC9" w:rsidRDefault="00036AC9" w:rsidP="00036AC9">
            <w:pPr>
              <w:pStyle w:val="NormalWeb"/>
              <w:spacing w:before="0" w:beforeAutospacing="0" w:after="0" w:afterAutospacing="0" w:line="480" w:lineRule="auto"/>
              <w:rPr>
                <w:color w:val="0E101A"/>
                <w:highlight w:val="yellow"/>
              </w:rPr>
            </w:pPr>
            <w:r w:rsidRPr="00810D2B">
              <w:rPr>
                <w:rFonts w:ascii="Arial" w:hAnsi="Arial" w:cs="Arial"/>
                <w:color w:val="0E101A"/>
              </w:rPr>
              <w:t>Expand recovery testing documentation</w:t>
            </w:r>
          </w:p>
        </w:tc>
      </w:tr>
    </w:tbl>
    <w:p w14:paraId="6362056A" w14:textId="77777777" w:rsidR="00323E7A" w:rsidRDefault="00323E7A" w:rsidP="0073134A">
      <w:pPr>
        <w:pStyle w:val="NormalWeb"/>
        <w:spacing w:before="0" w:beforeAutospacing="0" w:after="0" w:afterAutospacing="0" w:line="480" w:lineRule="auto"/>
        <w:rPr>
          <w:color w:val="0E101A"/>
          <w:highlight w:val="yellow"/>
        </w:rPr>
      </w:pPr>
    </w:p>
    <w:p w14:paraId="0CA3A280" w14:textId="77777777" w:rsidR="0073134A" w:rsidRDefault="0073134A" w:rsidP="00DC79E2">
      <w:pPr>
        <w:pStyle w:val="NormalWeb"/>
        <w:spacing w:before="0" w:beforeAutospacing="0" w:after="0" w:afterAutospacing="0" w:line="480" w:lineRule="auto"/>
        <w:ind w:firstLine="720"/>
        <w:rPr>
          <w:color w:val="0E101A"/>
        </w:rPr>
      </w:pPr>
      <w:r>
        <w:rPr>
          <w:color w:val="0E101A"/>
        </w:rPr>
        <w:t xml:space="preserve">By aligning maturity staging, scoring, workflow steps, and roadmap outputs to NIST CSF functions, the model provides a structured mechanism for mid-sized organizations to operationalize cybersecurity measurement. It enables leaders to prioritize improvements under resource constraints, track progress over time, and communicate cybersecurity maturity more effectively to stakeholders. Furthermore, because the model is deliberately aligned with CSF </w:t>
      </w:r>
      <w:r>
        <w:rPr>
          <w:color w:val="0E101A"/>
        </w:rPr>
        <w:lastRenderedPageBreak/>
        <w:t>outcomes rather than specific technologies, it remains adaptable as threats, architectures, and regulatory expectations evolve.</w:t>
      </w:r>
    </w:p>
    <w:p w14:paraId="0DDFAB10" w14:textId="0905BC0C" w:rsidR="008309D8" w:rsidRDefault="0073134A" w:rsidP="008309D8">
      <w:pPr>
        <w:pStyle w:val="NormalWeb"/>
        <w:spacing w:before="0" w:beforeAutospacing="0" w:after="0" w:afterAutospacing="0" w:line="480" w:lineRule="auto"/>
        <w:rPr>
          <w:b/>
          <w:bCs/>
          <w:color w:val="0E101A"/>
        </w:rPr>
      </w:pPr>
      <w:r w:rsidRPr="00DC79E2">
        <w:rPr>
          <w:b/>
          <w:bCs/>
          <w:color w:val="0E101A"/>
        </w:rPr>
        <w:t>Discussion, Limitations, and Conclusion</w:t>
      </w:r>
    </w:p>
    <w:p w14:paraId="10F54002" w14:textId="77777777" w:rsidR="00302E3D" w:rsidRDefault="00302E3D" w:rsidP="008309D8">
      <w:pPr>
        <w:pStyle w:val="NormalWeb"/>
        <w:spacing w:before="0" w:beforeAutospacing="0" w:after="0" w:afterAutospacing="0" w:line="480" w:lineRule="auto"/>
        <w:rPr>
          <w:color w:val="0E101A"/>
        </w:rPr>
      </w:pPr>
      <w:r w:rsidRPr="00302E3D">
        <w:rPr>
          <w:color w:val="0E101A"/>
        </w:rPr>
        <w:t xml:space="preserve"> </w:t>
      </w:r>
      <w:r w:rsidRPr="008309D8">
        <w:rPr>
          <w:color w:val="0E101A"/>
        </w:rPr>
        <w:t>This capstone</w:t>
      </w:r>
      <w:r>
        <w:rPr>
          <w:color w:val="0E101A"/>
        </w:rPr>
        <w:t xml:space="preserve"> </w:t>
      </w:r>
      <w:r w:rsidRPr="008309D8">
        <w:rPr>
          <w:color w:val="0E101A"/>
        </w:rPr>
        <w:t>addressed NIST CSF's limitation for mid-sized organizations: lacking standardized</w:t>
      </w:r>
      <w:r>
        <w:rPr>
          <w:color w:val="0E101A"/>
        </w:rPr>
        <w:t xml:space="preserve"> </w:t>
      </w:r>
      <w:r w:rsidRPr="008309D8">
        <w:rPr>
          <w:color w:val="0E101A"/>
        </w:rPr>
        <w:t>maturity assessment or progress measurement (NIST, 2024). While CSF provides risk-based outcomes, its non-prescriptive design hinders consistent evaluation, prioritization, and progress communication, especially under resource constraints.</w:t>
      </w:r>
      <w:r>
        <w:rPr>
          <w:color w:val="0E101A"/>
        </w:rPr>
        <w:t xml:space="preserve"> </w:t>
      </w:r>
    </w:p>
    <w:p w14:paraId="69CA21D9" w14:textId="5F354FAD" w:rsidR="00302E3D" w:rsidRDefault="00302E3D" w:rsidP="008309D8">
      <w:pPr>
        <w:pStyle w:val="NormalWeb"/>
        <w:spacing w:before="0" w:beforeAutospacing="0" w:after="0" w:afterAutospacing="0" w:line="480" w:lineRule="auto"/>
        <w:rPr>
          <w:color w:val="0E101A"/>
        </w:rPr>
      </w:pPr>
      <w:r w:rsidRPr="008309D8">
        <w:rPr>
          <w:color w:val="0E101A"/>
        </w:rPr>
        <w:t>The proposed self-assessment model translates CSF into maturity levels, scoring criteria, and a prioritization roadmap (Becker et al., 2009). It enables leaders to target high-risk, low-maturity areas and track repeatable improvements for stakeholders (Renaud et al., 2024). This shifts cybersecurity from reactive to intentional capability development</w:t>
      </w:r>
      <w:r>
        <w:rPr>
          <w:color w:val="0E101A"/>
        </w:rPr>
        <w:t xml:space="preserve">. </w:t>
      </w:r>
      <w:r w:rsidRPr="008309D8">
        <w:rPr>
          <w:color w:val="0E101A"/>
        </w:rPr>
        <w:t>Practical implications include integrating cyber into enterprise risk management, clarifying priorities for budgeting, and linking actions to accountability (de Bruin et al., 2005). Implementation needs trained assessors, multi</w:t>
      </w:r>
      <w:r>
        <w:rPr>
          <w:rFonts w:ascii="Segoe UI" w:hAnsi="Segoe UI" w:cs="Segoe UI"/>
        </w:rPr>
        <w:t>-</w:t>
      </w:r>
      <w:r w:rsidRPr="002C03F9">
        <w:rPr>
          <w:color w:val="0E101A"/>
        </w:rPr>
        <w:t>stakeholder input, and governance integration.</w:t>
      </w:r>
    </w:p>
    <w:p w14:paraId="6903FA68" w14:textId="58AA5074" w:rsidR="002C03F9" w:rsidRDefault="002C03F9" w:rsidP="008309D8">
      <w:pPr>
        <w:pStyle w:val="NormalWeb"/>
        <w:spacing w:before="0" w:beforeAutospacing="0" w:after="0" w:afterAutospacing="0" w:line="480" w:lineRule="auto"/>
        <w:rPr>
          <w:color w:val="0E101A"/>
        </w:rPr>
      </w:pPr>
      <w:r w:rsidRPr="008309D8">
        <w:rPr>
          <w:color w:val="0E101A"/>
        </w:rPr>
        <w:t>Limitations: The model is conceptual, unvalidated empirically; self-scoring risks bias; lacks quantitative risk integration. Future research should pilot test reliability and risk correlations (Renaud et al., 2024</w:t>
      </w:r>
    </w:p>
    <w:p w14:paraId="7BE35451" w14:textId="5B26AF6B" w:rsidR="002C03F9" w:rsidRDefault="002C03F9" w:rsidP="008309D8">
      <w:pPr>
        <w:pStyle w:val="NormalWeb"/>
        <w:spacing w:before="0" w:beforeAutospacing="0" w:after="0" w:afterAutospacing="0" w:line="480" w:lineRule="auto"/>
        <w:rPr>
          <w:color w:val="0E101A"/>
        </w:rPr>
      </w:pPr>
      <w:r w:rsidRPr="008309D8">
        <w:rPr>
          <w:color w:val="0E101A"/>
        </w:rPr>
        <w:t>In conclusion, CSF needs maturity tools for mid-sized organizations. This model provides</w:t>
      </w:r>
    </w:p>
    <w:p w14:paraId="1B24943D" w14:textId="65579BB5" w:rsidR="002C03F9" w:rsidRDefault="002C03F9" w:rsidP="008309D8">
      <w:pPr>
        <w:pStyle w:val="NormalWeb"/>
        <w:spacing w:before="0" w:beforeAutospacing="0" w:after="0" w:afterAutospacing="0" w:line="480" w:lineRule="auto"/>
        <w:rPr>
          <w:color w:val="0E101A"/>
        </w:rPr>
      </w:pPr>
      <w:r w:rsidRPr="008309D8">
        <w:rPr>
          <w:color w:val="0E101A"/>
        </w:rPr>
        <w:t>structured measurement for prioritization and resilience under constraints (NIST, 2024).</w:t>
      </w:r>
    </w:p>
    <w:p w14:paraId="4A6CBCF7" w14:textId="77777777" w:rsidR="002C03F9" w:rsidRDefault="002C03F9" w:rsidP="008309D8">
      <w:pPr>
        <w:pStyle w:val="NormalWeb"/>
        <w:spacing w:before="0" w:beforeAutospacing="0" w:after="0" w:afterAutospacing="0" w:line="480" w:lineRule="auto"/>
        <w:rPr>
          <w:color w:val="0E101A"/>
        </w:rPr>
      </w:pPr>
    </w:p>
    <w:p w14:paraId="5F83FD54" w14:textId="77777777" w:rsidR="002C03F9" w:rsidRDefault="002C03F9" w:rsidP="008309D8">
      <w:pPr>
        <w:pStyle w:val="NormalWeb"/>
        <w:spacing w:before="0" w:beforeAutospacing="0" w:after="0" w:afterAutospacing="0" w:line="480" w:lineRule="auto"/>
        <w:rPr>
          <w:color w:val="0E101A"/>
        </w:rPr>
      </w:pPr>
    </w:p>
    <w:p w14:paraId="6DD004D0" w14:textId="77777777" w:rsidR="002C03F9" w:rsidRDefault="002C03F9" w:rsidP="008309D8">
      <w:pPr>
        <w:pStyle w:val="NormalWeb"/>
        <w:spacing w:before="0" w:beforeAutospacing="0" w:after="0" w:afterAutospacing="0" w:line="480" w:lineRule="auto"/>
        <w:rPr>
          <w:color w:val="0E101A"/>
        </w:rPr>
      </w:pPr>
    </w:p>
    <w:p w14:paraId="4F54FA28" w14:textId="77777777" w:rsidR="002C03F9" w:rsidRDefault="002C03F9" w:rsidP="008309D8">
      <w:pPr>
        <w:pStyle w:val="NormalWeb"/>
        <w:spacing w:before="0" w:beforeAutospacing="0" w:after="0" w:afterAutospacing="0" w:line="480" w:lineRule="auto"/>
        <w:rPr>
          <w:color w:val="0E101A"/>
        </w:rPr>
      </w:pPr>
    </w:p>
    <w:p w14:paraId="4B2DDA96" w14:textId="77777777" w:rsidR="002C03F9" w:rsidRDefault="002C03F9" w:rsidP="008309D8">
      <w:pPr>
        <w:pStyle w:val="NormalWeb"/>
        <w:spacing w:before="0" w:beforeAutospacing="0" w:after="0" w:afterAutospacing="0" w:line="480" w:lineRule="auto"/>
        <w:rPr>
          <w:color w:val="0E101A"/>
        </w:rPr>
      </w:pPr>
    </w:p>
    <w:p w14:paraId="3CA11951" w14:textId="77777777" w:rsidR="002C03F9" w:rsidRDefault="002C03F9" w:rsidP="008309D8">
      <w:pPr>
        <w:pStyle w:val="NormalWeb"/>
        <w:spacing w:before="0" w:beforeAutospacing="0" w:after="0" w:afterAutospacing="0" w:line="480" w:lineRule="auto"/>
        <w:rPr>
          <w:color w:val="0E101A"/>
        </w:rPr>
      </w:pPr>
    </w:p>
    <w:p w14:paraId="5B681854" w14:textId="77777777" w:rsidR="002C03F9" w:rsidRDefault="002C03F9" w:rsidP="008309D8">
      <w:pPr>
        <w:pStyle w:val="NormalWeb"/>
        <w:spacing w:before="0" w:beforeAutospacing="0" w:after="0" w:afterAutospacing="0" w:line="480" w:lineRule="auto"/>
        <w:rPr>
          <w:color w:val="0E101A"/>
        </w:rPr>
      </w:pPr>
    </w:p>
    <w:p w14:paraId="771B8FC1" w14:textId="7766E23C" w:rsidR="00DC79E2" w:rsidRDefault="00DC79E2">
      <w:pPr>
        <w:rPr>
          <w:rFonts w:ascii="Times New Roman" w:eastAsia="Times New Roman" w:hAnsi="Times New Roman" w:cs="Times New Roman"/>
          <w:color w:val="0E101A"/>
          <w:kern w:val="0"/>
          <w14:ligatures w14:val="none"/>
        </w:rPr>
      </w:pPr>
      <w:r>
        <w:rPr>
          <w:color w:val="0E101A"/>
        </w:rPr>
        <w:br w:type="page"/>
      </w:r>
    </w:p>
    <w:p w14:paraId="41021334" w14:textId="148E6A38" w:rsidR="00DC79E2" w:rsidRPr="00DC79E2" w:rsidRDefault="00DC79E2" w:rsidP="00DC79E2">
      <w:pPr>
        <w:pStyle w:val="NormalWeb"/>
        <w:spacing w:before="0" w:beforeAutospacing="0" w:after="0" w:afterAutospacing="0" w:line="480" w:lineRule="auto"/>
        <w:jc w:val="center"/>
        <w:rPr>
          <w:b/>
          <w:bCs/>
          <w:color w:val="0E101A"/>
        </w:rPr>
      </w:pPr>
      <w:r w:rsidRPr="00DC79E2">
        <w:rPr>
          <w:b/>
          <w:bCs/>
          <w:color w:val="0E101A"/>
        </w:rPr>
        <w:lastRenderedPageBreak/>
        <w:t>References</w:t>
      </w:r>
    </w:p>
    <w:p w14:paraId="39534205" w14:textId="77777777" w:rsidR="00DC79E2" w:rsidRPr="00DC79E2" w:rsidRDefault="00DC79E2" w:rsidP="00004AF1">
      <w:pPr>
        <w:spacing w:after="0" w:line="480" w:lineRule="auto"/>
        <w:ind w:left="720" w:hanging="720"/>
        <w:rPr>
          <w:rFonts w:ascii="Times New Roman" w:hAnsi="Times New Roman" w:cs="Times New Roman"/>
        </w:rPr>
      </w:pPr>
      <w:r w:rsidRPr="00DC79E2">
        <w:rPr>
          <w:rFonts w:ascii="Times New Roman" w:hAnsi="Times New Roman" w:cs="Times New Roman"/>
        </w:rPr>
        <w:t xml:space="preserve">Becker, J., Knackstedt, R., &amp; Pöppelbuß, J. (2009). Developing maturity models for IT management. </w:t>
      </w:r>
      <w:r w:rsidRPr="00DC79E2">
        <w:rPr>
          <w:rFonts w:ascii="Times New Roman" w:hAnsi="Times New Roman" w:cs="Times New Roman"/>
          <w:i/>
          <w:iCs/>
        </w:rPr>
        <w:t>Business &amp; Information Systems Engineering, 1</w:t>
      </w:r>
      <w:r w:rsidRPr="00DC79E2">
        <w:rPr>
          <w:rFonts w:ascii="Times New Roman" w:hAnsi="Times New Roman" w:cs="Times New Roman"/>
        </w:rPr>
        <w:t xml:space="preserve">(3), 213–222. </w:t>
      </w:r>
      <w:hyperlink r:id="rId7" w:tgtFrame="_blank" w:tooltip="https://doi.org/10.1007/s12599-009-0044-5" w:history="1">
        <w:r w:rsidRPr="00DC79E2">
          <w:rPr>
            <w:rStyle w:val="Hyperlink"/>
            <w:rFonts w:ascii="Times New Roman" w:hAnsi="Times New Roman" w:cs="Times New Roman"/>
          </w:rPr>
          <w:t>https://doi.org/10.1007/s12599-009-0044-5</w:t>
        </w:r>
      </w:hyperlink>
      <w:r w:rsidRPr="00DC79E2">
        <w:rPr>
          <w:rFonts w:ascii="Times New Roman" w:hAnsi="Times New Roman" w:cs="Times New Roman"/>
        </w:rPr>
        <w:t>​</w:t>
      </w:r>
    </w:p>
    <w:p w14:paraId="4A187CF4" w14:textId="4C89F135" w:rsidR="00DC79E2" w:rsidRPr="00036AC9" w:rsidRDefault="00DC79E2" w:rsidP="00004AF1">
      <w:pPr>
        <w:spacing w:after="0" w:line="480" w:lineRule="auto"/>
        <w:ind w:left="720" w:hanging="720"/>
        <w:rPr>
          <w:rFonts w:ascii="Times New Roman" w:hAnsi="Times New Roman" w:cs="Times New Roman"/>
        </w:rPr>
      </w:pPr>
      <w:r w:rsidRPr="00DC79E2">
        <w:rPr>
          <w:rFonts w:ascii="Times New Roman" w:hAnsi="Times New Roman" w:cs="Times New Roman"/>
        </w:rPr>
        <w:t xml:space="preserve">de Bruin, T., Freeze, R., Kulkarni, U., &amp; Rosemann, M. (2005). Understanding the main phases of developing a maturity assessment model. </w:t>
      </w:r>
      <w:r w:rsidR="00004AF1" w:rsidRPr="00004AF1">
        <w:rPr>
          <w:rFonts w:ascii="Times New Roman" w:hAnsi="Times New Roman" w:cs="Times New Roman"/>
          <w:i/>
          <w:iCs/>
        </w:rPr>
        <w:t>ACIS 2005 Proceedings</w:t>
      </w:r>
      <w:r w:rsidR="00004AF1">
        <w:rPr>
          <w:rFonts w:ascii="Times New Roman" w:hAnsi="Times New Roman" w:cs="Times New Roman"/>
          <w:i/>
          <w:iCs/>
        </w:rPr>
        <w:t>,</w:t>
      </w:r>
      <w:r w:rsidR="00004AF1" w:rsidRPr="00004AF1">
        <w:rPr>
          <w:rFonts w:ascii="Times New Roman" w:hAnsi="Times New Roman" w:cs="Times New Roman"/>
          <w:i/>
          <w:iCs/>
        </w:rPr>
        <w:t xml:space="preserve"> </w:t>
      </w:r>
      <w:r w:rsidR="00004AF1" w:rsidRPr="00004AF1">
        <w:rPr>
          <w:rFonts w:ascii="Times New Roman" w:hAnsi="Times New Roman" w:cs="Times New Roman"/>
        </w:rPr>
        <w:t>109.</w:t>
      </w:r>
      <w:r w:rsidR="00004AF1">
        <w:rPr>
          <w:rFonts w:ascii="Times New Roman" w:hAnsi="Times New Roman" w:cs="Times New Roman"/>
        </w:rPr>
        <w:t xml:space="preserve"> </w:t>
      </w:r>
      <w:hyperlink r:id="rId8" w:history="1">
        <w:r w:rsidR="00004AF1" w:rsidRPr="00036AC9">
          <w:rPr>
            <w:rStyle w:val="Hyperlink"/>
            <w:rFonts w:ascii="Times New Roman" w:hAnsi="Times New Roman" w:cs="Times New Roman"/>
          </w:rPr>
          <w:t>https://aisel.aisnet.org/acis2005/109</w:t>
        </w:r>
      </w:hyperlink>
      <w:r w:rsidR="00004AF1" w:rsidRPr="00036AC9">
        <w:rPr>
          <w:rFonts w:ascii="Times New Roman" w:hAnsi="Times New Roman" w:cs="Times New Roman"/>
        </w:rPr>
        <w:t xml:space="preserve"> </w:t>
      </w:r>
      <w:r w:rsidRPr="00036AC9">
        <w:rPr>
          <w:rFonts w:ascii="Times New Roman" w:hAnsi="Times New Roman" w:cs="Times New Roman"/>
        </w:rPr>
        <w:t>​</w:t>
      </w:r>
    </w:p>
    <w:p w14:paraId="287E6CE4" w14:textId="0F758A19" w:rsidR="00DC79E2" w:rsidRPr="00036AC9" w:rsidRDefault="00DC79E2" w:rsidP="00095CCC">
      <w:pPr>
        <w:spacing w:after="0" w:line="480" w:lineRule="auto"/>
        <w:ind w:left="720" w:hanging="720"/>
        <w:rPr>
          <w:rFonts w:ascii="Times New Roman" w:hAnsi="Times New Roman" w:cs="Times New Roman"/>
        </w:rPr>
      </w:pPr>
      <w:r w:rsidRPr="00036AC9">
        <w:rPr>
          <w:rFonts w:ascii="Times New Roman" w:hAnsi="Times New Roman" w:cs="Times New Roman"/>
        </w:rPr>
        <w:t>International Organization for Standardization</w:t>
      </w:r>
      <w:r w:rsidR="00095CCC" w:rsidRPr="00036AC9">
        <w:rPr>
          <w:rFonts w:ascii="Times New Roman" w:hAnsi="Times New Roman" w:cs="Times New Roman"/>
        </w:rPr>
        <w:t>, International Electrotechnical Commission</w:t>
      </w:r>
      <w:r w:rsidRPr="00036AC9">
        <w:rPr>
          <w:rFonts w:ascii="Times New Roman" w:hAnsi="Times New Roman" w:cs="Times New Roman"/>
        </w:rPr>
        <w:t xml:space="preserve">. (2022). </w:t>
      </w:r>
      <w:r w:rsidRPr="00036AC9">
        <w:rPr>
          <w:rFonts w:ascii="Times New Roman" w:hAnsi="Times New Roman" w:cs="Times New Roman"/>
          <w:i/>
          <w:iCs/>
        </w:rPr>
        <w:t>ISO/IEC 27001:2022 information security, cybersecurity and privacy protection – Information security management systems – Requirements</w:t>
      </w:r>
      <w:r w:rsidR="00004AF1" w:rsidRPr="00036AC9">
        <w:rPr>
          <w:rFonts w:ascii="Times New Roman" w:hAnsi="Times New Roman" w:cs="Times New Roman"/>
        </w:rPr>
        <w:t xml:space="preserve"> (3</w:t>
      </w:r>
      <w:r w:rsidR="00004AF1" w:rsidRPr="00036AC9">
        <w:rPr>
          <w:rFonts w:ascii="Times New Roman" w:hAnsi="Times New Roman" w:cs="Times New Roman"/>
          <w:vertAlign w:val="superscript"/>
        </w:rPr>
        <w:t>rd</w:t>
      </w:r>
      <w:r w:rsidR="00004AF1" w:rsidRPr="00036AC9">
        <w:rPr>
          <w:rFonts w:ascii="Times New Roman" w:hAnsi="Times New Roman" w:cs="Times New Roman"/>
        </w:rPr>
        <w:t xml:space="preserve"> ed.).  </w:t>
      </w:r>
      <w:hyperlink r:id="rId9" w:history="1">
        <w:r w:rsidR="00095CCC" w:rsidRPr="00036AC9">
          <w:rPr>
            <w:rStyle w:val="Hyperlink"/>
            <w:rFonts w:ascii="Times New Roman" w:hAnsi="Times New Roman" w:cs="Times New Roman"/>
          </w:rPr>
          <w:t>https://www.exactls.com/wp-content/uploads/2025/02/ISO_IEC-270012022-ed.3.pdf</w:t>
        </w:r>
      </w:hyperlink>
      <w:r w:rsidR="00095CCC" w:rsidRPr="00036AC9">
        <w:rPr>
          <w:rFonts w:ascii="Times New Roman" w:hAnsi="Times New Roman" w:cs="Times New Roman"/>
        </w:rPr>
        <w:t xml:space="preserve"> </w:t>
      </w:r>
    </w:p>
    <w:p w14:paraId="05CD9B6D" w14:textId="5BE847E2" w:rsidR="00095CCC" w:rsidRPr="00DC79E2" w:rsidRDefault="00095CCC" w:rsidP="00095CCC">
      <w:pPr>
        <w:spacing w:after="0" w:line="480" w:lineRule="auto"/>
        <w:ind w:left="720" w:hanging="720"/>
        <w:rPr>
          <w:rFonts w:ascii="Times New Roman" w:hAnsi="Times New Roman" w:cs="Times New Roman"/>
        </w:rPr>
      </w:pPr>
      <w:r w:rsidRPr="00302E3D">
        <w:rPr>
          <w:rFonts w:ascii="Times New Roman" w:hAnsi="Times New Roman" w:cs="Times New Roman"/>
        </w:rPr>
        <w:t>ISO/IEC</w:t>
      </w:r>
      <w:r w:rsidR="00302E3D">
        <w:rPr>
          <w:rFonts w:ascii="Times New Roman" w:hAnsi="Times New Roman" w:cs="Times New Roman"/>
        </w:rPr>
        <w:t xml:space="preserve"> </w:t>
      </w:r>
      <w:r w:rsidR="00302E3D" w:rsidRPr="00302E3D">
        <w:rPr>
          <w:rFonts w:ascii="Times New Roman" w:hAnsi="Times New Roman" w:cs="Times New Roman"/>
        </w:rPr>
        <w:t>(</w:t>
      </w:r>
      <w:r w:rsidRPr="00302E3D">
        <w:rPr>
          <w:rFonts w:ascii="Times New Roman" w:hAnsi="Times New Roman" w:cs="Times New Roman"/>
        </w:rPr>
        <w:t>2022</w:t>
      </w:r>
      <w:r w:rsidR="00302E3D" w:rsidRPr="00302E3D">
        <w:rPr>
          <w:rFonts w:ascii="Times New Roman" w:hAnsi="Times New Roman" w:cs="Times New Roman"/>
        </w:rPr>
        <w:t>)</w:t>
      </w:r>
      <w:r w:rsidRPr="00302E3D">
        <w:rPr>
          <w:rFonts w:ascii="Times New Roman" w:hAnsi="Times New Roman" w:cs="Times New Roman"/>
        </w:rPr>
        <w:t xml:space="preserve"> </w:t>
      </w:r>
      <w:r w:rsidR="00302E3D" w:rsidRPr="00302E3D">
        <w:rPr>
          <w:rFonts w:ascii="Times New Roman" w:hAnsi="Times New Roman" w:cs="Times New Roman"/>
        </w:rPr>
        <w:t>I</w:t>
      </w:r>
      <w:r w:rsidRPr="00302E3D">
        <w:rPr>
          <w:rFonts w:ascii="Times New Roman" w:hAnsi="Times New Roman" w:cs="Times New Roman"/>
        </w:rPr>
        <w:t>nformation security, cybersecurity and privacy protection – Information</w:t>
      </w:r>
      <w:r w:rsidRPr="00036AC9">
        <w:rPr>
          <w:rFonts w:ascii="Times New Roman" w:hAnsi="Times New Roman" w:cs="Times New Roman"/>
          <w:i/>
          <w:iCs/>
        </w:rPr>
        <w:t xml:space="preserve"> </w:t>
      </w:r>
      <w:r w:rsidRPr="00302E3D">
        <w:rPr>
          <w:rFonts w:ascii="Times New Roman" w:hAnsi="Times New Roman" w:cs="Times New Roman"/>
        </w:rPr>
        <w:t>security management systems – Requirements</w:t>
      </w:r>
      <w:r w:rsidRPr="00036AC9">
        <w:rPr>
          <w:rFonts w:ascii="Times New Roman" w:hAnsi="Times New Roman" w:cs="Times New Roman"/>
        </w:rPr>
        <w:t xml:space="preserve"> (3rd ed.). (2022). </w:t>
      </w:r>
      <w:r w:rsidRPr="00302E3D">
        <w:rPr>
          <w:rFonts w:ascii="Times New Roman" w:hAnsi="Times New Roman" w:cs="Times New Roman"/>
          <w:i/>
          <w:iCs/>
        </w:rPr>
        <w:t>International Organization for Standardization, International Electrotechnical Commission</w:t>
      </w:r>
      <w:r w:rsidRPr="00036AC9">
        <w:rPr>
          <w:rFonts w:ascii="Times New Roman" w:hAnsi="Times New Roman" w:cs="Times New Roman"/>
        </w:rPr>
        <w:t xml:space="preserve">. </w:t>
      </w:r>
      <w:hyperlink r:id="rId10" w:history="1">
        <w:r w:rsidRPr="00036AC9">
          <w:rPr>
            <w:rStyle w:val="Hyperlink"/>
            <w:rFonts w:ascii="Times New Roman" w:hAnsi="Times New Roman" w:cs="Times New Roman"/>
          </w:rPr>
          <w:t>https://www.exactls.com/wp-content/uploads/2025/02/ISO_IEC-270012022-ed.3.pdf</w:t>
        </w:r>
      </w:hyperlink>
      <w:r w:rsidRPr="00036AC9">
        <w:rPr>
          <w:rFonts w:ascii="Times New Roman" w:hAnsi="Times New Roman" w:cs="Times New Roman"/>
        </w:rPr>
        <w:t xml:space="preserve"> </w:t>
      </w:r>
    </w:p>
    <w:p w14:paraId="15242EE9" w14:textId="05DC62D7" w:rsidR="00DC79E2" w:rsidRPr="00DC79E2" w:rsidRDefault="00DC79E2" w:rsidP="00004AF1">
      <w:pPr>
        <w:spacing w:after="0" w:line="480" w:lineRule="auto"/>
        <w:ind w:left="720" w:hanging="720"/>
        <w:rPr>
          <w:rFonts w:ascii="Times New Roman" w:hAnsi="Times New Roman" w:cs="Times New Roman"/>
        </w:rPr>
      </w:pPr>
      <w:r w:rsidRPr="00DC79E2">
        <w:rPr>
          <w:rFonts w:ascii="Times New Roman" w:hAnsi="Times New Roman" w:cs="Times New Roman"/>
        </w:rPr>
        <w:t>National Institute of Standards and Technology. (2018). Risk management framework for information systems and organizations</w:t>
      </w:r>
      <w:r w:rsidR="00DD5DB6">
        <w:rPr>
          <w:rFonts w:ascii="Times New Roman" w:hAnsi="Times New Roman" w:cs="Times New Roman"/>
        </w:rPr>
        <w:t xml:space="preserve">. </w:t>
      </w:r>
      <w:r w:rsidR="00DD5DB6" w:rsidRPr="00DD5DB6">
        <w:rPr>
          <w:rFonts w:ascii="Times New Roman" w:hAnsi="Times New Roman" w:cs="Times New Roman"/>
          <w:i/>
          <w:iCs/>
        </w:rPr>
        <w:t>NIST Special Publication</w:t>
      </w:r>
      <w:r w:rsidR="00DD5DB6">
        <w:rPr>
          <w:rFonts w:ascii="Times New Roman" w:hAnsi="Times New Roman" w:cs="Times New Roman"/>
          <w:i/>
          <w:iCs/>
        </w:rPr>
        <w:t>,</w:t>
      </w:r>
      <w:r w:rsidR="00DD5DB6" w:rsidRPr="00DD5DB6">
        <w:rPr>
          <w:rFonts w:ascii="Times New Roman" w:hAnsi="Times New Roman" w:cs="Times New Roman"/>
          <w:i/>
          <w:iCs/>
        </w:rPr>
        <w:t xml:space="preserve"> </w:t>
      </w:r>
      <w:r w:rsidR="00095CCC" w:rsidRPr="00095CCC">
        <w:rPr>
          <w:rFonts w:ascii="Times New Roman" w:hAnsi="Times New Roman" w:cs="Times New Roman"/>
          <w:i/>
          <w:iCs/>
        </w:rPr>
        <w:t>800</w:t>
      </w:r>
      <w:r w:rsidR="00095CCC" w:rsidRPr="00095CCC">
        <w:rPr>
          <w:rFonts w:ascii="Times New Roman" w:hAnsi="Times New Roman" w:cs="Times New Roman"/>
        </w:rPr>
        <w:t>-37, Rev. 2</w:t>
      </w:r>
      <w:r w:rsidRPr="00DC79E2">
        <w:rPr>
          <w:rFonts w:ascii="Times New Roman" w:hAnsi="Times New Roman" w:cs="Times New Roman"/>
        </w:rPr>
        <w:t xml:space="preserve">. </w:t>
      </w:r>
      <w:hyperlink r:id="rId11" w:tgtFrame="_blank" w:tooltip="https://doi.org/10.6028/NIST.SP.800-37r2" w:history="1">
        <w:r w:rsidRPr="00036AC9">
          <w:rPr>
            <w:rStyle w:val="Hyperlink"/>
            <w:rFonts w:ascii="Times New Roman" w:hAnsi="Times New Roman" w:cs="Times New Roman"/>
          </w:rPr>
          <w:t>https://doi.org/10.6028/NIST.SP.800-37r2</w:t>
        </w:r>
      </w:hyperlink>
      <w:r w:rsidRPr="00036AC9">
        <w:rPr>
          <w:rFonts w:ascii="Times New Roman" w:hAnsi="Times New Roman" w:cs="Times New Roman"/>
        </w:rPr>
        <w:t>​</w:t>
      </w:r>
    </w:p>
    <w:p w14:paraId="28287072" w14:textId="77777777" w:rsidR="00DC79E2" w:rsidRPr="00DC79E2" w:rsidRDefault="00DC79E2" w:rsidP="00004AF1">
      <w:pPr>
        <w:spacing w:after="0" w:line="480" w:lineRule="auto"/>
        <w:ind w:left="720" w:hanging="720"/>
        <w:rPr>
          <w:rFonts w:ascii="Times New Roman" w:hAnsi="Times New Roman" w:cs="Times New Roman"/>
        </w:rPr>
      </w:pPr>
      <w:r w:rsidRPr="00036AC9">
        <w:rPr>
          <w:rFonts w:ascii="Times New Roman" w:hAnsi="Times New Roman" w:cs="Times New Roman"/>
        </w:rPr>
        <w:t xml:space="preserve">National Institute of Standards and Technology. (2020). </w:t>
      </w:r>
      <w:r w:rsidRPr="00036AC9">
        <w:rPr>
          <w:rFonts w:ascii="Times New Roman" w:hAnsi="Times New Roman" w:cs="Times New Roman"/>
          <w:i/>
          <w:iCs/>
        </w:rPr>
        <w:t>Protecting controlled unclassified information in nonfederal systems and organizations</w:t>
      </w:r>
      <w:r w:rsidRPr="00036AC9">
        <w:rPr>
          <w:rFonts w:ascii="Times New Roman" w:hAnsi="Times New Roman" w:cs="Times New Roman"/>
        </w:rPr>
        <w:t xml:space="preserve"> (SP 800-171 Rev. 2). </w:t>
      </w:r>
      <w:hyperlink r:id="rId12" w:tgtFrame="_blank" w:tooltip="https://doi.org/10.6028/NIST.SP.800-171r2" w:history="1">
        <w:r w:rsidRPr="00036AC9">
          <w:rPr>
            <w:rStyle w:val="Hyperlink"/>
            <w:rFonts w:ascii="Times New Roman" w:hAnsi="Times New Roman" w:cs="Times New Roman"/>
          </w:rPr>
          <w:t>https://doi.org/10.6028/NIST.SP.800-171r2</w:t>
        </w:r>
      </w:hyperlink>
      <w:r w:rsidRPr="00036AC9">
        <w:rPr>
          <w:rFonts w:ascii="Times New Roman" w:hAnsi="Times New Roman" w:cs="Times New Roman"/>
        </w:rPr>
        <w:t>​</w:t>
      </w:r>
    </w:p>
    <w:p w14:paraId="326E8A0D" w14:textId="5BDEED07" w:rsidR="00DC79E2" w:rsidRPr="00DC79E2" w:rsidRDefault="00DC79E2" w:rsidP="00004AF1">
      <w:pPr>
        <w:spacing w:after="0" w:line="480" w:lineRule="auto"/>
        <w:ind w:left="720" w:hanging="720"/>
        <w:rPr>
          <w:rFonts w:ascii="Times New Roman" w:hAnsi="Times New Roman" w:cs="Times New Roman"/>
        </w:rPr>
      </w:pPr>
      <w:r w:rsidRPr="00DC79E2">
        <w:rPr>
          <w:rFonts w:ascii="Times New Roman" w:hAnsi="Times New Roman" w:cs="Times New Roman"/>
        </w:rPr>
        <w:t xml:space="preserve">National Institute of Standards and Technology. (2024). </w:t>
      </w:r>
      <w:r w:rsidRPr="00DC79E2">
        <w:rPr>
          <w:rFonts w:ascii="Times New Roman" w:hAnsi="Times New Roman" w:cs="Times New Roman"/>
          <w:i/>
          <w:iCs/>
        </w:rPr>
        <w:t>Cybersecurity Framework (CSF) 2.0</w:t>
      </w:r>
      <w:r w:rsidRPr="00DC79E2">
        <w:rPr>
          <w:rFonts w:ascii="Times New Roman" w:hAnsi="Times New Roman" w:cs="Times New Roman"/>
        </w:rPr>
        <w:t xml:space="preserve">. </w:t>
      </w:r>
      <w:hyperlink r:id="rId13" w:tgtFrame="_blank" w:tooltip="https://www.nist.gov/cyberframework" w:history="1">
        <w:r w:rsidRPr="00DC79E2">
          <w:rPr>
            <w:rStyle w:val="Hyperlink"/>
            <w:rFonts w:ascii="Times New Roman" w:hAnsi="Times New Roman" w:cs="Times New Roman"/>
          </w:rPr>
          <w:t>https://www.nist.gov/cyberframework</w:t>
        </w:r>
      </w:hyperlink>
      <w:r w:rsidRPr="00DC79E2">
        <w:rPr>
          <w:rFonts w:ascii="Times New Roman" w:hAnsi="Times New Roman" w:cs="Times New Roman"/>
        </w:rPr>
        <w:t>​</w:t>
      </w:r>
    </w:p>
    <w:p w14:paraId="55B2D6E2" w14:textId="77777777" w:rsidR="00DC79E2" w:rsidRPr="00DC79E2" w:rsidRDefault="00DC79E2" w:rsidP="00004AF1">
      <w:pPr>
        <w:spacing w:after="0" w:line="480" w:lineRule="auto"/>
        <w:ind w:left="720" w:hanging="720"/>
        <w:rPr>
          <w:rFonts w:ascii="Times New Roman" w:hAnsi="Times New Roman" w:cs="Times New Roman"/>
        </w:rPr>
      </w:pPr>
      <w:r w:rsidRPr="00DC79E2">
        <w:rPr>
          <w:rFonts w:ascii="Times New Roman" w:hAnsi="Times New Roman" w:cs="Times New Roman"/>
        </w:rPr>
        <w:lastRenderedPageBreak/>
        <w:t xml:space="preserve">Renaud, K., Flowerday, S., &amp; Warkentin, M. (2024). Cybersecurity preparedness of small-to-medium businesses. </w:t>
      </w:r>
      <w:r w:rsidRPr="00DC79E2">
        <w:rPr>
          <w:rFonts w:ascii="Times New Roman" w:hAnsi="Times New Roman" w:cs="Times New Roman"/>
          <w:i/>
          <w:iCs/>
        </w:rPr>
        <w:t>Computers &amp; Security, 135</w:t>
      </w:r>
      <w:r w:rsidRPr="00DC79E2">
        <w:rPr>
          <w:rFonts w:ascii="Times New Roman" w:hAnsi="Times New Roman" w:cs="Times New Roman"/>
        </w:rPr>
        <w:t xml:space="preserve">, 103012. </w:t>
      </w:r>
      <w:hyperlink r:id="rId14" w:tgtFrame="_blank" w:tooltip="https://doi.org/10.1016/j.cose.2023.103012" w:history="1">
        <w:r w:rsidRPr="00DC79E2">
          <w:rPr>
            <w:rStyle w:val="Hyperlink"/>
            <w:rFonts w:ascii="Times New Roman" w:hAnsi="Times New Roman" w:cs="Times New Roman"/>
          </w:rPr>
          <w:t>https://doi.org/10.1016/j.cose.2023.103012</w:t>
        </w:r>
      </w:hyperlink>
      <w:r w:rsidRPr="00DC79E2">
        <w:rPr>
          <w:rFonts w:ascii="Times New Roman" w:hAnsi="Times New Roman" w:cs="Times New Roman"/>
        </w:rPr>
        <w:t>​</w:t>
      </w:r>
    </w:p>
    <w:p w14:paraId="48EA84DA" w14:textId="5BA9395B" w:rsidR="00DC79E2" w:rsidRPr="00DC79E2" w:rsidRDefault="00DC79E2" w:rsidP="00004AF1">
      <w:pPr>
        <w:spacing w:after="0" w:line="480" w:lineRule="auto"/>
        <w:ind w:left="720" w:hanging="720"/>
        <w:rPr>
          <w:rFonts w:ascii="Times New Roman" w:hAnsi="Times New Roman" w:cs="Times New Roman"/>
        </w:rPr>
      </w:pPr>
      <w:r w:rsidRPr="00DC79E2">
        <w:rPr>
          <w:rFonts w:ascii="Times New Roman" w:hAnsi="Times New Roman" w:cs="Times New Roman"/>
        </w:rPr>
        <w:t>Souppaya, M., &amp; Scarfone, K. (2016). Guide to enterprise patch management planning</w:t>
      </w:r>
      <w:r w:rsidR="00095CCC">
        <w:rPr>
          <w:rFonts w:ascii="Times New Roman" w:hAnsi="Times New Roman" w:cs="Times New Roman"/>
        </w:rPr>
        <w:t>.</w:t>
      </w:r>
      <w:r w:rsidRPr="00DC79E2">
        <w:rPr>
          <w:rFonts w:ascii="Times New Roman" w:hAnsi="Times New Roman" w:cs="Times New Roman"/>
        </w:rPr>
        <w:t> </w:t>
      </w:r>
      <w:r w:rsidR="00095CCC" w:rsidRPr="00095CCC">
        <w:rPr>
          <w:rFonts w:ascii="Times New Roman" w:hAnsi="Times New Roman" w:cs="Times New Roman"/>
          <w:i/>
          <w:iCs/>
        </w:rPr>
        <w:t>NIST Special Publication</w:t>
      </w:r>
      <w:r w:rsidR="00095CCC">
        <w:rPr>
          <w:rFonts w:ascii="Times New Roman" w:hAnsi="Times New Roman" w:cs="Times New Roman"/>
          <w:i/>
          <w:iCs/>
        </w:rPr>
        <w:t>,</w:t>
      </w:r>
      <w:r w:rsidR="00095CCC" w:rsidRPr="00095CCC">
        <w:rPr>
          <w:rFonts w:ascii="Times New Roman" w:hAnsi="Times New Roman" w:cs="Times New Roman"/>
          <w:i/>
          <w:iCs/>
        </w:rPr>
        <w:t xml:space="preserve"> 800</w:t>
      </w:r>
      <w:r w:rsidR="00095CCC" w:rsidRPr="00095CCC">
        <w:rPr>
          <w:rFonts w:ascii="Times New Roman" w:hAnsi="Times New Roman" w:cs="Times New Roman"/>
        </w:rPr>
        <w:t>-40</w:t>
      </w:r>
      <w:r w:rsidR="00095CCC">
        <w:rPr>
          <w:rFonts w:ascii="Times New Roman" w:hAnsi="Times New Roman" w:cs="Times New Roman"/>
        </w:rPr>
        <w:t xml:space="preserve">, Rev. 3. </w:t>
      </w:r>
      <w:r w:rsidRPr="00DC79E2">
        <w:rPr>
          <w:rFonts w:ascii="Times New Roman" w:hAnsi="Times New Roman" w:cs="Times New Roman"/>
        </w:rPr>
        <w:t xml:space="preserve">National Institute of Standards and Technology. </w:t>
      </w:r>
      <w:hyperlink r:id="rId15" w:tgtFrame="_blank" w:tooltip="https://doi.org/10.6028/NIST.SP.800-40r3" w:history="1">
        <w:r w:rsidRPr="00DC79E2">
          <w:rPr>
            <w:rStyle w:val="Hyperlink"/>
            <w:rFonts w:ascii="Times New Roman" w:hAnsi="Times New Roman" w:cs="Times New Roman"/>
          </w:rPr>
          <w:t>https://doi.org/10.6028/NIST.SP.800-40r3</w:t>
        </w:r>
      </w:hyperlink>
      <w:r w:rsidRPr="00DC79E2">
        <w:rPr>
          <w:rFonts w:ascii="Times New Roman" w:hAnsi="Times New Roman" w:cs="Times New Roman"/>
        </w:rPr>
        <w:t>​</w:t>
      </w:r>
    </w:p>
    <w:p w14:paraId="67F7767C" w14:textId="77777777" w:rsidR="00DC79E2" w:rsidRPr="00DC79E2" w:rsidRDefault="00DC79E2" w:rsidP="00004AF1">
      <w:pPr>
        <w:spacing w:after="0" w:line="480" w:lineRule="auto"/>
        <w:ind w:left="720" w:hanging="720"/>
        <w:rPr>
          <w:rFonts w:ascii="Times New Roman" w:hAnsi="Times New Roman" w:cs="Times New Roman"/>
        </w:rPr>
      </w:pPr>
      <w:r w:rsidRPr="00DC79E2">
        <w:rPr>
          <w:rFonts w:ascii="Times New Roman" w:hAnsi="Times New Roman" w:cs="Times New Roman"/>
        </w:rPr>
        <w:t xml:space="preserve">U.S. Cybersecurity and Infrastructure Security Agency. (2023). </w:t>
      </w:r>
      <w:r w:rsidRPr="00DC79E2">
        <w:rPr>
          <w:rFonts w:ascii="Times New Roman" w:hAnsi="Times New Roman" w:cs="Times New Roman"/>
          <w:i/>
          <w:iCs/>
        </w:rPr>
        <w:t>Crosswalk between the NIST Cybersecurity Framework and other frameworks</w:t>
      </w:r>
      <w:r w:rsidRPr="00DC79E2">
        <w:rPr>
          <w:rFonts w:ascii="Times New Roman" w:hAnsi="Times New Roman" w:cs="Times New Roman"/>
        </w:rPr>
        <w:t xml:space="preserve">. </w:t>
      </w:r>
      <w:hyperlink r:id="rId16" w:tgtFrame="_blank" w:tooltip="https://www.cisa.gov/" w:history="1">
        <w:r w:rsidRPr="00DC79E2">
          <w:rPr>
            <w:rStyle w:val="Hyperlink"/>
            <w:rFonts w:ascii="Times New Roman" w:hAnsi="Times New Roman" w:cs="Times New Roman"/>
          </w:rPr>
          <w:t>https://www.cisa.gov</w:t>
        </w:r>
      </w:hyperlink>
      <w:r w:rsidRPr="00DC79E2">
        <w:rPr>
          <w:rFonts w:ascii="Times New Roman" w:hAnsi="Times New Roman" w:cs="Times New Roman"/>
        </w:rPr>
        <w:t>​</w:t>
      </w:r>
    </w:p>
    <w:p w14:paraId="1B896457" w14:textId="77777777" w:rsidR="00DC79E2" w:rsidRPr="00DC79E2" w:rsidRDefault="00DC79E2" w:rsidP="00004AF1">
      <w:pPr>
        <w:spacing w:after="0" w:line="480" w:lineRule="auto"/>
        <w:ind w:left="720" w:hanging="720"/>
        <w:rPr>
          <w:rFonts w:ascii="Times New Roman" w:hAnsi="Times New Roman" w:cs="Times New Roman"/>
        </w:rPr>
      </w:pPr>
      <w:r w:rsidRPr="00DC79E2">
        <w:rPr>
          <w:rFonts w:ascii="Times New Roman" w:hAnsi="Times New Roman" w:cs="Times New Roman"/>
        </w:rPr>
        <w:t xml:space="preserve">Whitman, M. E., &amp; Mattord, H. J. (2022). </w:t>
      </w:r>
      <w:r w:rsidRPr="00DC79E2">
        <w:rPr>
          <w:rFonts w:ascii="Times New Roman" w:hAnsi="Times New Roman" w:cs="Times New Roman"/>
          <w:i/>
          <w:iCs/>
        </w:rPr>
        <w:t>Principles of information security</w:t>
      </w:r>
      <w:r w:rsidRPr="00DC79E2">
        <w:rPr>
          <w:rFonts w:ascii="Times New Roman" w:hAnsi="Times New Roman" w:cs="Times New Roman"/>
        </w:rPr>
        <w:t> (7th ed.). Cengage Learning.​</w:t>
      </w:r>
    </w:p>
    <w:p w14:paraId="2F8AEECC" w14:textId="77777777" w:rsidR="00F44CFD" w:rsidRPr="00DC79E2" w:rsidRDefault="00F44CFD">
      <w:pPr>
        <w:rPr>
          <w:rFonts w:ascii="Times New Roman" w:hAnsi="Times New Roman" w:cs="Times New Roman"/>
        </w:rPr>
      </w:pPr>
    </w:p>
    <w:sectPr w:rsidR="00F44CFD" w:rsidRPr="00DC79E2" w:rsidSect="00466451">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858E5" w14:textId="77777777" w:rsidR="001821A3" w:rsidRDefault="001821A3" w:rsidP="00466451">
      <w:pPr>
        <w:spacing w:after="0" w:line="240" w:lineRule="auto"/>
      </w:pPr>
      <w:r>
        <w:separator/>
      </w:r>
    </w:p>
  </w:endnote>
  <w:endnote w:type="continuationSeparator" w:id="0">
    <w:p w14:paraId="16456CE5" w14:textId="77777777" w:rsidR="001821A3" w:rsidRDefault="001821A3" w:rsidP="004664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A4F28" w14:textId="77777777" w:rsidR="001821A3" w:rsidRDefault="001821A3" w:rsidP="00466451">
      <w:pPr>
        <w:spacing w:after="0" w:line="240" w:lineRule="auto"/>
      </w:pPr>
      <w:r>
        <w:separator/>
      </w:r>
    </w:p>
  </w:footnote>
  <w:footnote w:type="continuationSeparator" w:id="0">
    <w:p w14:paraId="2BDB2CAF" w14:textId="77777777" w:rsidR="001821A3" w:rsidRDefault="001821A3" w:rsidP="004664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7806077"/>
      <w:docPartObj>
        <w:docPartGallery w:val="Page Numbers (Top of Page)"/>
        <w:docPartUnique/>
      </w:docPartObj>
    </w:sdtPr>
    <w:sdtEndPr>
      <w:rPr>
        <w:rFonts w:ascii="Times New Roman" w:hAnsi="Times New Roman" w:cs="Times New Roman"/>
        <w:noProof/>
      </w:rPr>
    </w:sdtEndPr>
    <w:sdtContent>
      <w:p w14:paraId="0159D7F8" w14:textId="2C6D2C14" w:rsidR="00466451" w:rsidRPr="00466451" w:rsidRDefault="00466451">
        <w:pPr>
          <w:pStyle w:val="Header"/>
          <w:jc w:val="right"/>
          <w:rPr>
            <w:rFonts w:ascii="Times New Roman" w:hAnsi="Times New Roman" w:cs="Times New Roman"/>
          </w:rPr>
        </w:pPr>
        <w:r w:rsidRPr="00466451">
          <w:rPr>
            <w:rFonts w:ascii="Times New Roman" w:hAnsi="Times New Roman" w:cs="Times New Roman"/>
          </w:rPr>
          <w:fldChar w:fldCharType="begin"/>
        </w:r>
        <w:r w:rsidRPr="00466451">
          <w:rPr>
            <w:rFonts w:ascii="Times New Roman" w:hAnsi="Times New Roman" w:cs="Times New Roman"/>
          </w:rPr>
          <w:instrText xml:space="preserve"> PAGE   \* MERGEFORMAT </w:instrText>
        </w:r>
        <w:r w:rsidRPr="00466451">
          <w:rPr>
            <w:rFonts w:ascii="Times New Roman" w:hAnsi="Times New Roman" w:cs="Times New Roman"/>
          </w:rPr>
          <w:fldChar w:fldCharType="separate"/>
        </w:r>
        <w:r w:rsidRPr="00466451">
          <w:rPr>
            <w:rFonts w:ascii="Times New Roman" w:hAnsi="Times New Roman" w:cs="Times New Roman"/>
            <w:noProof/>
          </w:rPr>
          <w:t>2</w:t>
        </w:r>
        <w:r w:rsidRPr="00466451">
          <w:rPr>
            <w:rFonts w:ascii="Times New Roman" w:hAnsi="Times New Roman" w:cs="Times New Roman"/>
            <w:noProof/>
          </w:rPr>
          <w:fldChar w:fldCharType="end"/>
        </w:r>
      </w:p>
    </w:sdtContent>
  </w:sdt>
  <w:p w14:paraId="7F296AA8" w14:textId="77777777" w:rsidR="00466451" w:rsidRDefault="004664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12C68"/>
    <w:multiLevelType w:val="hybridMultilevel"/>
    <w:tmpl w:val="08C0FC64"/>
    <w:lvl w:ilvl="0" w:tplc="F2763DE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 w15:restartNumberingAfterBreak="0">
    <w:nsid w:val="4EC940A0"/>
    <w:multiLevelType w:val="hybridMultilevel"/>
    <w:tmpl w:val="DF4E39FA"/>
    <w:lvl w:ilvl="0" w:tplc="7F0ECC18">
      <w:start w:val="1"/>
      <w:numFmt w:val="bullet"/>
      <w:lvlText w:val=""/>
      <w:lvlJc w:val="left"/>
      <w:pPr>
        <w:ind w:left="1440" w:hanging="360"/>
      </w:pPr>
      <w:rPr>
        <w:rFonts w:ascii="Symbol" w:hAnsi="Symbol"/>
      </w:rPr>
    </w:lvl>
    <w:lvl w:ilvl="1" w:tplc="52AC1E9E">
      <w:start w:val="1"/>
      <w:numFmt w:val="bullet"/>
      <w:lvlText w:val=""/>
      <w:lvlJc w:val="left"/>
      <w:pPr>
        <w:ind w:left="1440" w:hanging="360"/>
      </w:pPr>
      <w:rPr>
        <w:rFonts w:ascii="Symbol" w:hAnsi="Symbol"/>
      </w:rPr>
    </w:lvl>
    <w:lvl w:ilvl="2" w:tplc="014287D2">
      <w:start w:val="1"/>
      <w:numFmt w:val="bullet"/>
      <w:lvlText w:val=""/>
      <w:lvlJc w:val="left"/>
      <w:pPr>
        <w:ind w:left="1440" w:hanging="360"/>
      </w:pPr>
      <w:rPr>
        <w:rFonts w:ascii="Symbol" w:hAnsi="Symbol"/>
      </w:rPr>
    </w:lvl>
    <w:lvl w:ilvl="3" w:tplc="1DB4EC24">
      <w:start w:val="1"/>
      <w:numFmt w:val="bullet"/>
      <w:lvlText w:val=""/>
      <w:lvlJc w:val="left"/>
      <w:pPr>
        <w:ind w:left="1440" w:hanging="360"/>
      </w:pPr>
      <w:rPr>
        <w:rFonts w:ascii="Symbol" w:hAnsi="Symbol"/>
      </w:rPr>
    </w:lvl>
    <w:lvl w:ilvl="4" w:tplc="A1468810">
      <w:start w:val="1"/>
      <w:numFmt w:val="bullet"/>
      <w:lvlText w:val=""/>
      <w:lvlJc w:val="left"/>
      <w:pPr>
        <w:ind w:left="1440" w:hanging="360"/>
      </w:pPr>
      <w:rPr>
        <w:rFonts w:ascii="Symbol" w:hAnsi="Symbol"/>
      </w:rPr>
    </w:lvl>
    <w:lvl w:ilvl="5" w:tplc="38046BC6">
      <w:start w:val="1"/>
      <w:numFmt w:val="bullet"/>
      <w:lvlText w:val=""/>
      <w:lvlJc w:val="left"/>
      <w:pPr>
        <w:ind w:left="1440" w:hanging="360"/>
      </w:pPr>
      <w:rPr>
        <w:rFonts w:ascii="Symbol" w:hAnsi="Symbol"/>
      </w:rPr>
    </w:lvl>
    <w:lvl w:ilvl="6" w:tplc="EA7C433A">
      <w:start w:val="1"/>
      <w:numFmt w:val="bullet"/>
      <w:lvlText w:val=""/>
      <w:lvlJc w:val="left"/>
      <w:pPr>
        <w:ind w:left="1440" w:hanging="360"/>
      </w:pPr>
      <w:rPr>
        <w:rFonts w:ascii="Symbol" w:hAnsi="Symbol"/>
      </w:rPr>
    </w:lvl>
    <w:lvl w:ilvl="7" w:tplc="73E8F7EE">
      <w:start w:val="1"/>
      <w:numFmt w:val="bullet"/>
      <w:lvlText w:val=""/>
      <w:lvlJc w:val="left"/>
      <w:pPr>
        <w:ind w:left="1440" w:hanging="360"/>
      </w:pPr>
      <w:rPr>
        <w:rFonts w:ascii="Symbol" w:hAnsi="Symbol"/>
      </w:rPr>
    </w:lvl>
    <w:lvl w:ilvl="8" w:tplc="0DDE4840">
      <w:start w:val="1"/>
      <w:numFmt w:val="bullet"/>
      <w:lvlText w:val=""/>
      <w:lvlJc w:val="left"/>
      <w:pPr>
        <w:ind w:left="1440" w:hanging="360"/>
      </w:pPr>
      <w:rPr>
        <w:rFonts w:ascii="Symbol" w:hAnsi="Symbol"/>
      </w:rPr>
    </w:lvl>
  </w:abstractNum>
  <w:num w:numId="1" w16cid:durableId="145247175">
    <w:abstractNumId w:val="1"/>
  </w:num>
  <w:num w:numId="2" w16cid:durableId="2029287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6"/>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34A"/>
    <w:rsid w:val="00004AF1"/>
    <w:rsid w:val="00036AC9"/>
    <w:rsid w:val="0005399F"/>
    <w:rsid w:val="00095CCC"/>
    <w:rsid w:val="00096EAE"/>
    <w:rsid w:val="0017166E"/>
    <w:rsid w:val="001821A3"/>
    <w:rsid w:val="00222454"/>
    <w:rsid w:val="00241F0E"/>
    <w:rsid w:val="002C03F9"/>
    <w:rsid w:val="00302E3D"/>
    <w:rsid w:val="00323E7A"/>
    <w:rsid w:val="00330D9B"/>
    <w:rsid w:val="00466451"/>
    <w:rsid w:val="00472BA5"/>
    <w:rsid w:val="004C2EC4"/>
    <w:rsid w:val="004F12FA"/>
    <w:rsid w:val="004F19A9"/>
    <w:rsid w:val="00512A98"/>
    <w:rsid w:val="00525393"/>
    <w:rsid w:val="005344D8"/>
    <w:rsid w:val="005577F1"/>
    <w:rsid w:val="00583402"/>
    <w:rsid w:val="00616821"/>
    <w:rsid w:val="006B0BD9"/>
    <w:rsid w:val="0073134A"/>
    <w:rsid w:val="00742C7D"/>
    <w:rsid w:val="00753522"/>
    <w:rsid w:val="00772E7A"/>
    <w:rsid w:val="00811BC2"/>
    <w:rsid w:val="008128F4"/>
    <w:rsid w:val="008309D8"/>
    <w:rsid w:val="0085737B"/>
    <w:rsid w:val="008B57AD"/>
    <w:rsid w:val="008C5A3C"/>
    <w:rsid w:val="00905AFA"/>
    <w:rsid w:val="009352FF"/>
    <w:rsid w:val="0096378F"/>
    <w:rsid w:val="009A6B42"/>
    <w:rsid w:val="009B4698"/>
    <w:rsid w:val="00A118ED"/>
    <w:rsid w:val="00A14ACD"/>
    <w:rsid w:val="00A760C9"/>
    <w:rsid w:val="00B240B3"/>
    <w:rsid w:val="00B305CB"/>
    <w:rsid w:val="00B36FC2"/>
    <w:rsid w:val="00B61E76"/>
    <w:rsid w:val="00B81259"/>
    <w:rsid w:val="00B84992"/>
    <w:rsid w:val="00BE36B5"/>
    <w:rsid w:val="00C04BCC"/>
    <w:rsid w:val="00C16C7C"/>
    <w:rsid w:val="00C4023E"/>
    <w:rsid w:val="00C67295"/>
    <w:rsid w:val="00C871CE"/>
    <w:rsid w:val="00C97E22"/>
    <w:rsid w:val="00D36A91"/>
    <w:rsid w:val="00D414D9"/>
    <w:rsid w:val="00DB7C7C"/>
    <w:rsid w:val="00DC0D4A"/>
    <w:rsid w:val="00DC79E2"/>
    <w:rsid w:val="00DD5DB6"/>
    <w:rsid w:val="00E03D49"/>
    <w:rsid w:val="00E17EBB"/>
    <w:rsid w:val="00E61EA4"/>
    <w:rsid w:val="00E75825"/>
    <w:rsid w:val="00F16A18"/>
    <w:rsid w:val="00F2113B"/>
    <w:rsid w:val="00F42BAA"/>
    <w:rsid w:val="00F43E08"/>
    <w:rsid w:val="00F44CFD"/>
    <w:rsid w:val="00F563F6"/>
    <w:rsid w:val="00F84486"/>
    <w:rsid w:val="00F90A69"/>
    <w:rsid w:val="00FB48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93D17"/>
  <w15:chartTrackingRefBased/>
  <w15:docId w15:val="{78373BDD-6704-E848-9E2D-678D20DAE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3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3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3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3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3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3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3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3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3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3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3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3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3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3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3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3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3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34A"/>
    <w:rPr>
      <w:rFonts w:eastAsiaTheme="majorEastAsia" w:cstheme="majorBidi"/>
      <w:color w:val="272727" w:themeColor="text1" w:themeTint="D8"/>
    </w:rPr>
  </w:style>
  <w:style w:type="paragraph" w:styleId="Title">
    <w:name w:val="Title"/>
    <w:basedOn w:val="Normal"/>
    <w:next w:val="Normal"/>
    <w:link w:val="TitleChar"/>
    <w:uiPriority w:val="10"/>
    <w:qFormat/>
    <w:rsid w:val="007313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3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3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3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34A"/>
    <w:pPr>
      <w:spacing w:before="160"/>
      <w:jc w:val="center"/>
    </w:pPr>
    <w:rPr>
      <w:i/>
      <w:iCs/>
      <w:color w:val="404040" w:themeColor="text1" w:themeTint="BF"/>
    </w:rPr>
  </w:style>
  <w:style w:type="character" w:customStyle="1" w:styleId="QuoteChar">
    <w:name w:val="Quote Char"/>
    <w:basedOn w:val="DefaultParagraphFont"/>
    <w:link w:val="Quote"/>
    <w:uiPriority w:val="29"/>
    <w:rsid w:val="0073134A"/>
    <w:rPr>
      <w:i/>
      <w:iCs/>
      <w:color w:val="404040" w:themeColor="text1" w:themeTint="BF"/>
    </w:rPr>
  </w:style>
  <w:style w:type="paragraph" w:styleId="ListParagraph">
    <w:name w:val="List Paragraph"/>
    <w:basedOn w:val="Normal"/>
    <w:uiPriority w:val="34"/>
    <w:qFormat/>
    <w:rsid w:val="0073134A"/>
    <w:pPr>
      <w:ind w:left="720"/>
      <w:contextualSpacing/>
    </w:pPr>
  </w:style>
  <w:style w:type="character" w:styleId="IntenseEmphasis">
    <w:name w:val="Intense Emphasis"/>
    <w:basedOn w:val="DefaultParagraphFont"/>
    <w:uiPriority w:val="21"/>
    <w:qFormat/>
    <w:rsid w:val="0073134A"/>
    <w:rPr>
      <w:i/>
      <w:iCs/>
      <w:color w:val="0F4761" w:themeColor="accent1" w:themeShade="BF"/>
    </w:rPr>
  </w:style>
  <w:style w:type="paragraph" w:styleId="IntenseQuote">
    <w:name w:val="Intense Quote"/>
    <w:basedOn w:val="Normal"/>
    <w:next w:val="Normal"/>
    <w:link w:val="IntenseQuoteChar"/>
    <w:uiPriority w:val="30"/>
    <w:qFormat/>
    <w:rsid w:val="007313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34A"/>
    <w:rPr>
      <w:i/>
      <w:iCs/>
      <w:color w:val="0F4761" w:themeColor="accent1" w:themeShade="BF"/>
    </w:rPr>
  </w:style>
  <w:style w:type="character" w:styleId="IntenseReference">
    <w:name w:val="Intense Reference"/>
    <w:basedOn w:val="DefaultParagraphFont"/>
    <w:uiPriority w:val="32"/>
    <w:qFormat/>
    <w:rsid w:val="0073134A"/>
    <w:rPr>
      <w:b/>
      <w:bCs/>
      <w:smallCaps/>
      <w:color w:val="0F4761" w:themeColor="accent1" w:themeShade="BF"/>
      <w:spacing w:val="5"/>
    </w:rPr>
  </w:style>
  <w:style w:type="paragraph" w:styleId="NormalWeb">
    <w:name w:val="Normal (Web)"/>
    <w:basedOn w:val="Normal"/>
    <w:uiPriority w:val="99"/>
    <w:unhideWhenUsed/>
    <w:rsid w:val="0073134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3134A"/>
    <w:rPr>
      <w:i/>
      <w:iCs/>
    </w:rPr>
  </w:style>
  <w:style w:type="character" w:styleId="Strong">
    <w:name w:val="Strong"/>
    <w:basedOn w:val="DefaultParagraphFont"/>
    <w:uiPriority w:val="22"/>
    <w:qFormat/>
    <w:rsid w:val="0073134A"/>
    <w:rPr>
      <w:b/>
      <w:bCs/>
    </w:rPr>
  </w:style>
  <w:style w:type="paragraph" w:styleId="Header">
    <w:name w:val="header"/>
    <w:basedOn w:val="Normal"/>
    <w:link w:val="HeaderChar"/>
    <w:uiPriority w:val="99"/>
    <w:unhideWhenUsed/>
    <w:rsid w:val="004664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6451"/>
  </w:style>
  <w:style w:type="paragraph" w:styleId="Footer">
    <w:name w:val="footer"/>
    <w:basedOn w:val="Normal"/>
    <w:link w:val="FooterChar"/>
    <w:uiPriority w:val="99"/>
    <w:unhideWhenUsed/>
    <w:rsid w:val="004664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6451"/>
  </w:style>
  <w:style w:type="character" w:styleId="Hyperlink">
    <w:name w:val="Hyperlink"/>
    <w:basedOn w:val="DefaultParagraphFont"/>
    <w:uiPriority w:val="99"/>
    <w:unhideWhenUsed/>
    <w:rsid w:val="00DC79E2"/>
    <w:rPr>
      <w:color w:val="467886" w:themeColor="hyperlink"/>
      <w:u w:val="single"/>
    </w:rPr>
  </w:style>
  <w:style w:type="character" w:styleId="UnresolvedMention">
    <w:name w:val="Unresolved Mention"/>
    <w:basedOn w:val="DefaultParagraphFont"/>
    <w:uiPriority w:val="99"/>
    <w:semiHidden/>
    <w:unhideWhenUsed/>
    <w:rsid w:val="00DC79E2"/>
    <w:rPr>
      <w:color w:val="605E5C"/>
      <w:shd w:val="clear" w:color="auto" w:fill="E1DFDD"/>
    </w:rPr>
  </w:style>
  <w:style w:type="character" w:styleId="FollowedHyperlink">
    <w:name w:val="FollowedHyperlink"/>
    <w:basedOn w:val="DefaultParagraphFont"/>
    <w:uiPriority w:val="99"/>
    <w:semiHidden/>
    <w:unhideWhenUsed/>
    <w:rsid w:val="00095CCC"/>
    <w:rPr>
      <w:color w:val="96607D" w:themeColor="followedHyperlink"/>
      <w:u w:val="single"/>
    </w:rPr>
  </w:style>
  <w:style w:type="character" w:styleId="CommentReference">
    <w:name w:val="annotation reference"/>
    <w:basedOn w:val="DefaultParagraphFont"/>
    <w:uiPriority w:val="99"/>
    <w:semiHidden/>
    <w:unhideWhenUsed/>
    <w:rsid w:val="00DD5DB6"/>
    <w:rPr>
      <w:sz w:val="16"/>
      <w:szCs w:val="16"/>
    </w:rPr>
  </w:style>
  <w:style w:type="paragraph" w:styleId="CommentText">
    <w:name w:val="annotation text"/>
    <w:basedOn w:val="Normal"/>
    <w:link w:val="CommentTextChar"/>
    <w:uiPriority w:val="99"/>
    <w:unhideWhenUsed/>
    <w:rsid w:val="00DD5DB6"/>
    <w:pPr>
      <w:spacing w:line="240" w:lineRule="auto"/>
    </w:pPr>
    <w:rPr>
      <w:sz w:val="20"/>
      <w:szCs w:val="20"/>
    </w:rPr>
  </w:style>
  <w:style w:type="character" w:customStyle="1" w:styleId="CommentTextChar">
    <w:name w:val="Comment Text Char"/>
    <w:basedOn w:val="DefaultParagraphFont"/>
    <w:link w:val="CommentText"/>
    <w:uiPriority w:val="99"/>
    <w:rsid w:val="00DD5DB6"/>
    <w:rPr>
      <w:sz w:val="20"/>
      <w:szCs w:val="20"/>
    </w:rPr>
  </w:style>
  <w:style w:type="paragraph" w:styleId="CommentSubject">
    <w:name w:val="annotation subject"/>
    <w:basedOn w:val="CommentText"/>
    <w:next w:val="CommentText"/>
    <w:link w:val="CommentSubjectChar"/>
    <w:uiPriority w:val="99"/>
    <w:semiHidden/>
    <w:unhideWhenUsed/>
    <w:rsid w:val="00DD5DB6"/>
    <w:rPr>
      <w:b/>
      <w:bCs/>
    </w:rPr>
  </w:style>
  <w:style w:type="character" w:customStyle="1" w:styleId="CommentSubjectChar">
    <w:name w:val="Comment Subject Char"/>
    <w:basedOn w:val="CommentTextChar"/>
    <w:link w:val="CommentSubject"/>
    <w:uiPriority w:val="99"/>
    <w:semiHidden/>
    <w:rsid w:val="00DD5DB6"/>
    <w:rPr>
      <w:b/>
      <w:bCs/>
      <w:sz w:val="20"/>
      <w:szCs w:val="20"/>
    </w:rPr>
  </w:style>
  <w:style w:type="paragraph" w:styleId="Revision">
    <w:name w:val="Revision"/>
    <w:hidden/>
    <w:uiPriority w:val="99"/>
    <w:semiHidden/>
    <w:rsid w:val="004C2EC4"/>
    <w:pPr>
      <w:spacing w:after="0" w:line="240" w:lineRule="auto"/>
    </w:pPr>
  </w:style>
  <w:style w:type="table" w:styleId="TableGrid">
    <w:name w:val="Table Grid"/>
    <w:basedOn w:val="TableNormal"/>
    <w:uiPriority w:val="39"/>
    <w:rsid w:val="004C2E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y-2">
    <w:name w:val="my-2"/>
    <w:basedOn w:val="Normal"/>
    <w:rsid w:val="008309D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sel.aisnet.org/acis2005/109" TargetMode="External"/><Relationship Id="rId13" Type="http://schemas.openxmlformats.org/officeDocument/2006/relationships/hyperlink" Target="https://www.nist.gov/cyberframework"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07/s12599-009-0044-5" TargetMode="External"/><Relationship Id="rId12" Type="http://schemas.openxmlformats.org/officeDocument/2006/relationships/hyperlink" Target="https://doi.org/10.6028/NIST.SP.800-171r2"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cisa.gov/"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6028/NIST.SP.800-37r2" TargetMode="External"/><Relationship Id="rId5" Type="http://schemas.openxmlformats.org/officeDocument/2006/relationships/footnotes" Target="footnotes.xml"/><Relationship Id="rId15" Type="http://schemas.openxmlformats.org/officeDocument/2006/relationships/hyperlink" Target="https://doi.org/10.6028/NIST.SP.800-40r3" TargetMode="External"/><Relationship Id="rId10" Type="http://schemas.openxmlformats.org/officeDocument/2006/relationships/hyperlink" Target="https://www.exactls.com/wp-content/uploads/2025/02/ISO_IEC-270012022-ed.3.pdf"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exactls.com/wp-content/uploads/2025/02/ISO_IEC-270012022-ed.3.pdf" TargetMode="External"/><Relationship Id="rId14" Type="http://schemas.openxmlformats.org/officeDocument/2006/relationships/hyperlink" Target="https://doi.org/10.1016/j.cose.2023.1030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5404</Words>
  <Characters>36966</Characters>
  <Application>Microsoft Office Word</Application>
  <DocSecurity>0</DocSecurity>
  <Lines>568</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Ezra Shuremu</dc:creator>
  <cp:keywords/>
  <dc:description/>
  <cp:lastModifiedBy>Ezra Shuremu</cp:lastModifiedBy>
  <cp:revision>2</cp:revision>
  <dcterms:created xsi:type="dcterms:W3CDTF">2026-03-08T21:15:00Z</dcterms:created>
  <dcterms:modified xsi:type="dcterms:W3CDTF">2026-03-08T21:15:00Z</dcterms:modified>
</cp:coreProperties>
</file>