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t>Medical note: claimant diagnosed with left wrist fracture and cervical strain.</w:t>
      </w:r>
    </w:p>
    <w:p>
      <w:r>
        <w:t>Treatment: 8 physiotherapy sessions and 12 days medical leave.</w:t>
      </w:r>
    </w:p>
    <w:p>
      <w:r>
        <w:t>Insurer offered SGD 18,000; witness evidence supports claimant right of way.</w:t>
      </w:r>
    </w:p>
    <w:sectPr>
      <w:pgSz w:w="12240" w:h="15840"/>
    </w:sectPr>
  </w:body>
</w:document>
</file>