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B2" w:rsidRDefault="000C67B2">
      <w:pPr>
        <w:rPr>
          <w:rFonts w:hint="eastAsia"/>
        </w:rPr>
      </w:pPr>
      <w:r>
        <w:t>Upgrade von SAP-Systemen</w:t>
      </w:r>
    </w:p>
    <w:p w:rsidR="0024472E" w:rsidRDefault="000C67B2">
      <w:pPr>
        <w:rPr>
          <w:rFonts w:hint="eastAsia"/>
        </w:rPr>
      </w:pPr>
      <w:r>
        <w:t>Notizen KRU</w:t>
      </w:r>
    </w:p>
    <w:p w:rsidR="0024472E" w:rsidRDefault="0024472E">
      <w:pPr>
        <w:rPr>
          <w:rFonts w:hint="eastAsia"/>
        </w:rPr>
      </w:pPr>
    </w:p>
    <w:p w:rsidR="000C67B2" w:rsidRDefault="000C67B2" w:rsidP="000C67B2">
      <w:pPr>
        <w:rPr>
          <w:rFonts w:hint="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A93F68" w:rsidRPr="00441399" w:rsidTr="00A817EE">
        <w:tc>
          <w:tcPr>
            <w:tcW w:w="136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Datum</w:t>
            </w:r>
          </w:p>
        </w:tc>
        <w:tc>
          <w:tcPr>
            <w:tcW w:w="87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Seite</w:t>
            </w: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99">
              <w:rPr>
                <w:rFonts w:ascii="Times New Roman" w:hAnsi="Times New Roman" w:cs="Times New Roman"/>
                <w:b/>
                <w:sz w:val="32"/>
                <w:szCs w:val="32"/>
              </w:rPr>
              <w:t>Notizen</w:t>
            </w: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06.06.2018</w:t>
            </w:r>
          </w:p>
        </w:tc>
        <w:tc>
          <w:tcPr>
            <w:tcW w:w="87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441399" w:rsidRDefault="00E473A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Wartungsintensive neue Technologien</w:t>
            </w:r>
          </w:p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 xml:space="preserve">SAP </w:t>
            </w:r>
            <w:proofErr w:type="spellStart"/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Fiori</w:t>
            </w:r>
            <w:proofErr w:type="spellEnd"/>
            <w:r w:rsidRPr="00441399">
              <w:rPr>
                <w:rFonts w:ascii="Times New Roman" w:hAnsi="Times New Roman" w:cs="Times New Roman"/>
                <w:sz w:val="28"/>
                <w:szCs w:val="28"/>
              </w:rPr>
              <w:t xml:space="preserve"> SAPUI5 -&gt; Seite 282</w:t>
            </w: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441399" w:rsidRDefault="000029E9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441399" w:rsidTr="00A817EE">
        <w:tc>
          <w:tcPr>
            <w:tcW w:w="1366" w:type="dxa"/>
          </w:tcPr>
          <w:p w:rsidR="005C417B" w:rsidRPr="00441399" w:rsidRDefault="005C417B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08.06.2018</w:t>
            </w:r>
          </w:p>
        </w:tc>
        <w:tc>
          <w:tcPr>
            <w:tcW w:w="879" w:type="dxa"/>
          </w:tcPr>
          <w:p w:rsidR="00A93F68" w:rsidRPr="00441399" w:rsidRDefault="00AC2D8A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1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78315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13.08.2018</w:t>
            </w:r>
          </w:p>
        </w:tc>
        <w:tc>
          <w:tcPr>
            <w:tcW w:w="879" w:type="dxa"/>
          </w:tcPr>
          <w:p w:rsidR="00A93F68" w:rsidRPr="00441399" w:rsidRDefault="0078315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E05EA"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7219" w:type="dxa"/>
          </w:tcPr>
          <w:p w:rsidR="00A93F68" w:rsidRPr="00441399" w:rsidRDefault="00783154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Übersichten über die einzelnen Kapitel</w:t>
            </w:r>
          </w:p>
          <w:p w:rsidR="00672E36" w:rsidRPr="00441399" w:rsidRDefault="00672E36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Start Kapitel 1</w:t>
            </w:r>
          </w:p>
        </w:tc>
      </w:tr>
      <w:tr w:rsidR="00A93F68" w:rsidRPr="00441399" w:rsidTr="00A817EE">
        <w:tc>
          <w:tcPr>
            <w:tcW w:w="1366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A93F68" w:rsidRPr="00441399" w:rsidRDefault="00A93F68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A93F68" w:rsidRPr="00441399" w:rsidRDefault="00A817EE" w:rsidP="005D72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</w:rPr>
              <w:t>Begriffe</w:t>
            </w:r>
          </w:p>
          <w:p w:rsidR="00A817EE" w:rsidRPr="00441399" w:rsidRDefault="00A817EE" w:rsidP="00A817EE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44139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SAP NetWeaver </w:t>
            </w:r>
            <w:proofErr w:type="spellStart"/>
            <w:r w:rsidRPr="0044139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ApplicationServer</w:t>
            </w:r>
            <w:proofErr w:type="spellEnd"/>
            <w:r w:rsidRPr="0044139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br/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(AS, im Deutschen auch </w:t>
            </w:r>
            <w:r w:rsidRPr="0044139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Anwendungsserver </w:t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genannt)</w:t>
            </w:r>
          </w:p>
          <w:p w:rsidR="00A817EE" w:rsidRPr="00441399" w:rsidRDefault="00441399" w:rsidP="00441399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r w:rsidRPr="0044139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</w:t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t>AS Java</w:t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t>für</w:t>
            </w:r>
            <w:proofErr w:type="spellEnd"/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br/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t>SAP Enterprise Portal</w:t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  <w:lang w:val="fr-FR"/>
              </w:rPr>
              <w:br/>
            </w:r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oder Adobe </w:t>
            </w:r>
            <w:proofErr w:type="spellStart"/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Document</w:t>
            </w:r>
            <w:proofErr w:type="spellEnd"/>
            <w:r w:rsidRPr="00441399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 Services (ADS)</w:t>
            </w:r>
          </w:p>
          <w:p w:rsidR="00441399" w:rsidRPr="00A75E88" w:rsidRDefault="00A75E88" w:rsidP="00441399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r w:rsidRPr="00A75E8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75E8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ERP </w:t>
            </w:r>
            <w:r w:rsidRPr="00A75E88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(Enterprise </w:t>
            </w:r>
            <w:proofErr w:type="spellStart"/>
            <w:r w:rsidRPr="00A75E88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Resource</w:t>
            </w:r>
            <w:proofErr w:type="spellEnd"/>
            <w:r w:rsidRPr="00A75E88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75E88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Planning</w:t>
            </w:r>
            <w:proofErr w:type="spellEnd"/>
            <w:r w:rsidRPr="00A75E88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)</w:t>
            </w:r>
          </w:p>
          <w:p w:rsidR="00A75E88" w:rsidRPr="00DB22AF" w:rsidRDefault="00DB22AF" w:rsidP="00DB22AF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r w:rsidRPr="00DB22A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B22AF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Erweiterungssets (</w:t>
            </w:r>
            <w:proofErr w:type="spellStart"/>
            <w:r w:rsidRPr="00DB22AF">
              <w:rPr>
                <w:rFonts w:ascii="Times New Roman" w:eastAsia="TheAntiquaBWProp-SemiLight" w:hAnsi="Times New Roman" w:cs="Times New Roman"/>
                <w:i/>
                <w:iCs/>
                <w:sz w:val="28"/>
                <w:szCs w:val="28"/>
              </w:rPr>
              <w:t>ExtensionSets</w:t>
            </w:r>
            <w:proofErr w:type="spellEnd"/>
            <w:r w:rsidRPr="00DB22AF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, beginnen mit EA-*) und Branchenfunktionen (</w:t>
            </w:r>
            <w:proofErr w:type="spellStart"/>
            <w:r w:rsidRPr="00DB22AF">
              <w:rPr>
                <w:rFonts w:ascii="Times New Roman" w:eastAsia="TheAntiquaBWProp-SemiLight" w:hAnsi="Times New Roman" w:cs="Times New Roman"/>
                <w:i/>
                <w:iCs/>
                <w:sz w:val="28"/>
                <w:szCs w:val="28"/>
              </w:rPr>
              <w:t>Industry</w:t>
            </w:r>
            <w:proofErr w:type="spellEnd"/>
            <w:r w:rsidRPr="00DB22AF">
              <w:rPr>
                <w:rFonts w:ascii="Times New Roman" w:eastAsia="TheAntiquaBWProp-SemiLight" w:hAnsi="Times New Roman" w:cs="Times New Roman"/>
                <w:i/>
                <w:iCs/>
                <w:sz w:val="28"/>
                <w:szCs w:val="28"/>
              </w:rPr>
              <w:t xml:space="preserve"> Solutions</w:t>
            </w:r>
            <w:r w:rsidRPr="00DB22AF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, beginnen</w:t>
            </w:r>
            <w:r w:rsidRPr="00DB22AF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 </w:t>
            </w:r>
            <w:r w:rsidRPr="00DB22AF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mit IS-*)</w:t>
            </w:r>
          </w:p>
          <w:p w:rsidR="006C6783" w:rsidRPr="00903992" w:rsidRDefault="006C6783" w:rsidP="006C6783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bookmarkStart w:id="0" w:name="_GoBack"/>
            <w:r w:rsidRPr="0090399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Support-Komponente ST-PI, die Werkzeuge zur</w:t>
            </w:r>
          </w:p>
          <w:p w:rsidR="00DB22AF" w:rsidRPr="00903992" w:rsidRDefault="006C6783" w:rsidP="006C6783">
            <w:pPr>
              <w:autoSpaceDE w:val="0"/>
              <w:autoSpaceDN w:val="0"/>
              <w:adjustRightInd w:val="0"/>
              <w:rPr>
                <w:rFonts w:ascii="Times New Roman" w:eastAsia="TheAntiquaBWProp-SemiLight" w:hAnsi="Times New Roman" w:cs="Times New Roman"/>
                <w:sz w:val="28"/>
                <w:szCs w:val="28"/>
              </w:rPr>
            </w:pP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Unterst</w:t>
            </w: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ü</w:t>
            </w: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 xml:space="preserve">tzung von </w:t>
            </w: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Ü</w:t>
            </w:r>
            <w:r w:rsidRPr="00903992">
              <w:rPr>
                <w:rFonts w:ascii="Times New Roman" w:eastAsia="TheAntiquaBWProp-SemiLight" w:hAnsi="Times New Roman" w:cs="Times New Roman"/>
                <w:sz w:val="28"/>
                <w:szCs w:val="28"/>
              </w:rPr>
              <w:t>berwachungs- und Trace-Funktionen enthalt.</w:t>
            </w:r>
          </w:p>
          <w:bookmarkEnd w:id="0"/>
          <w:p w:rsidR="006C6783" w:rsidRPr="00441399" w:rsidRDefault="006C6783" w:rsidP="006C67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  <w:tr w:rsidR="00A93F68" w:rsidRPr="00682F8D" w:rsidTr="00A817EE">
        <w:tc>
          <w:tcPr>
            <w:tcW w:w="1366" w:type="dxa"/>
          </w:tcPr>
          <w:p w:rsidR="00A93F68" w:rsidRPr="00682F8D" w:rsidRDefault="00A93F68" w:rsidP="005D72DC"/>
        </w:tc>
        <w:tc>
          <w:tcPr>
            <w:tcW w:w="879" w:type="dxa"/>
          </w:tcPr>
          <w:p w:rsidR="00A93F68" w:rsidRPr="00682F8D" w:rsidRDefault="00A93F68" w:rsidP="005D72DC"/>
        </w:tc>
        <w:tc>
          <w:tcPr>
            <w:tcW w:w="7219" w:type="dxa"/>
          </w:tcPr>
          <w:p w:rsidR="00A93F68" w:rsidRPr="00682F8D" w:rsidRDefault="00A93F68" w:rsidP="005D72DC"/>
        </w:tc>
      </w:tr>
    </w:tbl>
    <w:p w:rsidR="000C67B2" w:rsidRDefault="000C67B2" w:rsidP="000C67B2">
      <w:pPr>
        <w:rPr>
          <w:rFonts w:hint="eastAsia"/>
        </w:rPr>
      </w:pPr>
    </w:p>
    <w:p w:rsidR="000C67B2" w:rsidRDefault="000C67B2" w:rsidP="000C67B2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p w:rsidR="0024472E" w:rsidRDefault="0024472E">
      <w:pPr>
        <w:rPr>
          <w:rFonts w:hint="eastAsia"/>
        </w:rPr>
      </w:pPr>
    </w:p>
    <w:sectPr w:rsidR="002447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AntiquaBWProp-Semi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72E"/>
    <w:rsid w:val="000029E9"/>
    <w:rsid w:val="000B2333"/>
    <w:rsid w:val="000C67B2"/>
    <w:rsid w:val="0024472E"/>
    <w:rsid w:val="003F1AB8"/>
    <w:rsid w:val="00441399"/>
    <w:rsid w:val="005C417B"/>
    <w:rsid w:val="005E05EA"/>
    <w:rsid w:val="00672E36"/>
    <w:rsid w:val="006C6783"/>
    <w:rsid w:val="00783154"/>
    <w:rsid w:val="00903992"/>
    <w:rsid w:val="00A75E88"/>
    <w:rsid w:val="00A817EE"/>
    <w:rsid w:val="00A93F68"/>
    <w:rsid w:val="00AC2D8A"/>
    <w:rsid w:val="00BE65AC"/>
    <w:rsid w:val="00DB22AF"/>
    <w:rsid w:val="00E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CEFA3-56A4-4347-8542-4F55C8E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Company>Lehmann &amp; Voss % CO. KG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Krüger, Oliver</cp:lastModifiedBy>
  <cp:revision>19</cp:revision>
  <dcterms:created xsi:type="dcterms:W3CDTF">2018-06-05T19:14:00Z</dcterms:created>
  <dcterms:modified xsi:type="dcterms:W3CDTF">2018-08-15T17:31:00Z</dcterms:modified>
  <dc:language>de-DE</dc:language>
</cp:coreProperties>
</file>