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4D8C"/>
          <w:sz w:val="22"/>
        </w:rPr>
        <w:t>HOSPITAL UNIVERSITARIO NUESTRA SEÑORA DE CANDELARIA</w:t>
      </w:r>
    </w:p>
    <w:p>
      <w:pPr>
        <w:jc w:val="center"/>
      </w:pPr>
      <w:r>
        <w:rPr>
          <w:color w:val="5A6573"/>
          <w:sz w:val="20"/>
        </w:rPr>
        <w:t>Servicio Canario de la Salud  ·  Grupo de Trabajo de Innovación Digital</w:t>
      </w:r>
    </w:p>
    <w:p/>
    <w:p>
      <w:pPr>
        <w:jc w:val="center"/>
      </w:pPr>
      <w:r>
        <w:rPr>
          <w:b/>
          <w:color w:val="073A6B"/>
          <w:sz w:val="40"/>
        </w:rPr>
        <w:t>Propuesta de formulario digital de solicitudes</w:t>
      </w:r>
    </w:p>
    <w:p>
      <w:pPr>
        <w:jc w:val="center"/>
      </w:pPr>
      <w:r>
        <w:rPr>
          <w:color w:val="5A6573"/>
          <w:sz w:val="24"/>
        </w:rPr>
        <w:t>Canal único para exposición de proyectos y consultas</w:t>
        <w:br/>
        <w:t>(apartados 5.4 y 8.2.f del Reglamento de funcionamiento del grupo)</w:t>
      </w:r>
    </w:p>
    <w:p/>
    <w:p>
      <w:pPr>
        <w:jc w:val="center"/>
      </w:pPr>
      <w:r>
        <w:rPr>
          <w:i/>
          <w:color w:val="5A6573"/>
          <w:sz w:val="20"/>
        </w:rPr>
        <w:t>Documento de diseño · versión borrador para validación interna del grupo</w:t>
      </w:r>
    </w:p>
    <w:p/>
    <w:p>
      <w:pPr>
        <w:pStyle w:val="Heading1"/>
      </w:pPr>
      <w:r>
        <w:t>1. Contexto y objeto</w:t>
      </w:r>
    </w:p>
    <w:p>
      <w:pPr>
        <w:spacing w:after="120"/>
      </w:pPr>
      <w:r>
        <w:rPr>
          <w:b w:val="0"/>
          <w:i w:val="0"/>
          <w:sz w:val="22"/>
        </w:rPr>
        <w:t>El Reglamento de funcionamiento del Grupo de Trabajo de Innovación Digital del HUNSC (borrador de 19 de mayo de 2026) prevé de forma explícita un formulario digital público para canalizar las solicitudes de los profesionales del centro. Esta propuesta lo concreta. El formulario responde a tres puntos del reglamento:</w:t>
      </w:r>
    </w:p>
    <w:p>
      <w:pPr>
        <w:pStyle w:val="ListBullet"/>
        <w:spacing w:after="60"/>
      </w:pPr>
      <w:r>
        <w:t>Apartado 5.4.a — Solicitud previa: el profesional que quiere exponer un proyecto remite su título, el problema abordado, la fase en que se encuentra y el aspecto sobre el que solicita retorno crítico.</w:t>
      </w:r>
    </w:p>
    <w:p>
      <w:pPr>
        <w:pStyle w:val="ListBullet"/>
        <w:spacing w:after="60"/>
      </w:pPr>
      <w:r>
        <w:t>Apartado 8.2.f — Hito del plan de acción (mes 1–6): lanzamiento de un formulario digital en plataforma ligera, sin coste asociado, sujeta a las directrices de identidad institucional, protección de datos y seguridad de la información del HUNSC.</w:t>
      </w:r>
    </w:p>
    <w:p>
      <w:pPr>
        <w:pStyle w:val="ListBullet"/>
        <w:spacing w:after="60"/>
      </w:pPr>
      <w:r>
        <w:t>Apartado 8.3.e — Indicador mínimo del primer ciclo: publicación efectiva del canal público de solicitudes dentro del primer semestre.</w:t>
      </w:r>
    </w:p>
    <w:p>
      <w:pPr>
        <w:spacing w:after="120"/>
      </w:pPr>
      <w:r>
        <w:rPr>
          <w:b w:val="0"/>
          <w:i w:val="0"/>
          <w:sz w:val="22"/>
        </w:rPr>
        <w:t>La recepción de las solicitudes corresponde a la Secretaría del grupo (ap. 7.3.e) y la valoración del encaje al Coordinador (ap. 5.4.b y 7.2.c). El bloque 5.3.d de las reuniones ordinarias decide la actuación sobre cada solicitud: declinarla, redirigirla a la unidad competente o invitar al solicitante a una reunión.</w:t>
      </w:r>
    </w:p>
    <w:p>
      <w:pPr>
        <w:pStyle w:val="Heading1"/>
      </w:pPr>
      <w:r>
        <w:t>2. Decisiones de diseño</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0A4D8C"/>
          </w:tcPr>
          <w:p>
            <w:pPr>
              <w:spacing w:after="40" w:before="40"/>
            </w:pPr>
            <w:r/>
            <w:r>
              <w:rPr>
                <w:b/>
                <w:color w:val="FFFFFF"/>
                <w:sz w:val="20"/>
              </w:rPr>
              <w:t>Decisión</w:t>
            </w:r>
          </w:p>
        </w:tc>
        <w:tc>
          <w:tcPr>
            <w:tcW w:type="dxa" w:w="2438"/>
            <w:shd w:val="clear" w:color="auto" w:fill="0A4D8C"/>
          </w:tcPr>
          <w:p>
            <w:pPr>
              <w:spacing w:after="40" w:before="40"/>
            </w:pPr>
            <w:r/>
            <w:r>
              <w:rPr>
                <w:b/>
                <w:color w:val="FFFFFF"/>
                <w:sz w:val="20"/>
              </w:rPr>
              <w:t>Opción elegida</w:t>
            </w:r>
          </w:p>
        </w:tc>
        <w:tc>
          <w:tcPr>
            <w:tcW w:type="dxa" w:w="4819"/>
            <w:shd w:val="clear" w:color="auto" w:fill="0A4D8C"/>
          </w:tcPr>
          <w:p>
            <w:pPr>
              <w:spacing w:after="40" w:before="40"/>
            </w:pPr>
            <w:r/>
            <w:r>
              <w:rPr>
                <w:b/>
                <w:color w:val="FFFFFF"/>
                <w:sz w:val="20"/>
              </w:rPr>
              <w:t>Motivo</w:t>
            </w:r>
          </w:p>
        </w:tc>
      </w:tr>
      <w:tr>
        <w:tc>
          <w:tcPr>
            <w:tcW w:type="dxa" w:w="1814"/>
          </w:tcPr>
          <w:p>
            <w:pPr>
              <w:spacing w:after="40" w:before="40"/>
            </w:pPr>
            <w:r/>
            <w:r>
              <w:rPr>
                <w:b w:val="0"/>
                <w:sz w:val="20"/>
              </w:rPr>
              <w:t>Entregable</w:t>
            </w:r>
          </w:p>
        </w:tc>
        <w:tc>
          <w:tcPr>
            <w:tcW w:type="dxa" w:w="2438"/>
          </w:tcPr>
          <w:p>
            <w:pPr>
              <w:spacing w:after="40" w:before="40"/>
            </w:pPr>
            <w:r/>
            <w:r>
              <w:rPr>
                <w:b w:val="0"/>
                <w:sz w:val="20"/>
              </w:rPr>
              <w:t>Formulario web autónomo (HTML)</w:t>
            </w:r>
          </w:p>
        </w:tc>
        <w:tc>
          <w:tcPr>
            <w:tcW w:type="dxa" w:w="4819"/>
          </w:tcPr>
          <w:p>
            <w:pPr>
              <w:spacing w:after="40" w:before="40"/>
            </w:pPr>
            <w:r/>
            <w:r>
              <w:rPr>
                <w:b w:val="0"/>
                <w:sz w:val="20"/>
              </w:rPr>
              <w:t>Un único archivo, sin dependencias ni CDNs externos: respeta el ENS y puede servirse en intranet aislada. Desplegable sin coste.</w:t>
            </w:r>
          </w:p>
        </w:tc>
      </w:tr>
      <w:tr>
        <w:tc>
          <w:tcPr>
            <w:tcW w:type="dxa" w:w="1814"/>
            <w:shd w:val="clear" w:color="auto" w:fill="E8F1F9"/>
          </w:tcPr>
          <w:p>
            <w:pPr>
              <w:spacing w:after="40" w:before="40"/>
            </w:pPr>
            <w:r/>
            <w:r>
              <w:rPr>
                <w:b w:val="0"/>
                <w:sz w:val="20"/>
              </w:rPr>
              <w:t>Estructura</w:t>
            </w:r>
          </w:p>
        </w:tc>
        <w:tc>
          <w:tcPr>
            <w:tcW w:type="dxa" w:w="2438"/>
            <w:shd w:val="clear" w:color="auto" w:fill="E8F1F9"/>
          </w:tcPr>
          <w:p>
            <w:pPr>
              <w:spacing w:after="40" w:before="40"/>
            </w:pPr>
            <w:r/>
            <w:r>
              <w:rPr>
                <w:b w:val="0"/>
                <w:sz w:val="20"/>
              </w:rPr>
              <w:t>Un formulario con bifurcación</w:t>
            </w:r>
          </w:p>
        </w:tc>
        <w:tc>
          <w:tcPr>
            <w:tcW w:type="dxa" w:w="4819"/>
            <w:shd w:val="clear" w:color="auto" w:fill="E8F1F9"/>
          </w:tcPr>
          <w:p>
            <w:pPr>
              <w:spacing w:after="40" w:before="40"/>
            </w:pPr>
            <w:r/>
            <w:r>
              <w:rPr>
                <w:b w:val="0"/>
                <w:sz w:val="20"/>
              </w:rPr>
              <w:t>Un solo enlace público. La primera pregunta (tipo de solicitud) muestra los campos de la vía de proyecto o de la vía de consulta.</w:t>
            </w:r>
          </w:p>
        </w:tc>
      </w:tr>
      <w:tr>
        <w:tc>
          <w:tcPr>
            <w:tcW w:type="dxa" w:w="1814"/>
          </w:tcPr>
          <w:p>
            <w:pPr>
              <w:spacing w:after="40" w:before="40"/>
            </w:pPr>
            <w:r/>
            <w:r>
              <w:rPr>
                <w:b w:val="0"/>
                <w:sz w:val="20"/>
              </w:rPr>
              <w:t>Canal de recepción</w:t>
            </w:r>
          </w:p>
        </w:tc>
        <w:tc>
          <w:tcPr>
            <w:tcW w:type="dxa" w:w="2438"/>
          </w:tcPr>
          <w:p>
            <w:pPr>
              <w:spacing w:after="40" w:before="40"/>
            </w:pPr>
            <w:r/>
            <w:r>
              <w:rPr>
                <w:b w:val="0"/>
                <w:sz w:val="20"/>
              </w:rPr>
              <w:t>Correo (Gmail) + registro en Hoja de cálculo</w:t>
            </w:r>
          </w:p>
        </w:tc>
        <w:tc>
          <w:tcPr>
            <w:tcW w:type="dxa" w:w="4819"/>
          </w:tcPr>
          <w:p>
            <w:pPr>
              <w:spacing w:after="40" w:before="40"/>
            </w:pPr>
            <w:r/>
            <w:r>
              <w:rPr>
                <w:b w:val="0"/>
                <w:sz w:val="20"/>
              </w:rPr>
              <w:t>Vía Google Apps Script: gratuito y dentro del ecosistema Google, sin proveedor de formularios de terceros. Aviso de protección de datos en la sección 6.</w:t>
            </w:r>
          </w:p>
        </w:tc>
      </w:tr>
      <w:tr>
        <w:tc>
          <w:tcPr>
            <w:tcW w:type="dxa" w:w="1814"/>
            <w:shd w:val="clear" w:color="auto" w:fill="E8F1F9"/>
          </w:tcPr>
          <w:p>
            <w:pPr>
              <w:spacing w:after="40" w:before="40"/>
            </w:pPr>
            <w:r/>
            <w:r>
              <w:rPr>
                <w:b w:val="0"/>
                <w:sz w:val="20"/>
              </w:rPr>
              <w:t>Dos vías de entrada</w:t>
            </w:r>
          </w:p>
        </w:tc>
        <w:tc>
          <w:tcPr>
            <w:tcW w:type="dxa" w:w="2438"/>
            <w:shd w:val="clear" w:color="auto" w:fill="E8F1F9"/>
          </w:tcPr>
          <w:p>
            <w:pPr>
              <w:spacing w:after="40" w:before="40"/>
            </w:pPr>
            <w:r/>
            <w:r>
              <w:rPr>
                <w:b w:val="0"/>
                <w:sz w:val="20"/>
              </w:rPr>
              <w:t>Proyecto (5.4) y consulta (2.3.c)</w:t>
            </w:r>
          </w:p>
        </w:tc>
        <w:tc>
          <w:tcPr>
            <w:tcW w:type="dxa" w:w="4819"/>
            <w:shd w:val="clear" w:color="auto" w:fill="E8F1F9"/>
          </w:tcPr>
          <w:p>
            <w:pPr>
              <w:spacing w:after="40" w:before="40"/>
            </w:pPr>
            <w:r/>
            <w:r>
              <w:rPr>
                <w:b w:val="0"/>
                <w:sz w:val="20"/>
              </w:rPr>
              <w:t>El reglamento distingue el acompañamiento metodológico a proyectos del asesoramiento puntual de carácter consultivo.</w:t>
            </w:r>
          </w:p>
        </w:tc>
      </w:tr>
    </w:tbl>
    <w:p>
      <w:pPr>
        <w:pStyle w:val="Heading1"/>
      </w:pPr>
      <w:r>
        <w:t>3. Estructura del formulario y justificación de campos</w:t>
      </w:r>
    </w:p>
    <w:p>
      <w:pPr>
        <w:pStyle w:val="Heading2"/>
      </w:pPr>
      <w:r>
        <w:t>3.1. Datos de identificación (comunes)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0A4D8C"/>
          </w:tcPr>
          <w:p>
            <w:pPr>
              <w:spacing w:after="40" w:before="40"/>
            </w:pPr>
            <w:r/>
            <w:r>
              <w:rPr>
                <w:b/>
                <w:color w:val="FFFFFF"/>
                <w:sz w:val="20"/>
              </w:rPr>
              <w:t>Campo</w:t>
            </w:r>
          </w:p>
        </w:tc>
        <w:tc>
          <w:tcPr>
            <w:tcW w:type="dxa" w:w="1247"/>
            <w:shd w:val="clear" w:color="auto" w:fill="0A4D8C"/>
          </w:tcPr>
          <w:p>
            <w:pPr>
              <w:spacing w:after="40" w:before="40"/>
            </w:pPr>
            <w:r/>
            <w:r>
              <w:rPr>
                <w:b/>
                <w:color w:val="FFFFFF"/>
                <w:sz w:val="20"/>
              </w:rPr>
              <w:t>Obligatorio</w:t>
            </w:r>
          </w:p>
        </w:tc>
        <w:tc>
          <w:tcPr>
            <w:tcW w:type="dxa" w:w="5556"/>
            <w:shd w:val="clear" w:color="auto" w:fill="0A4D8C"/>
          </w:tcPr>
          <w:p>
            <w:pPr>
              <w:spacing w:after="40" w:before="40"/>
            </w:pPr>
            <w:r/>
            <w:r>
              <w:rPr>
                <w:b/>
                <w:color w:val="FFFFFF"/>
                <w:sz w:val="20"/>
              </w:rPr>
              <w:t>Justificación</w:t>
            </w:r>
          </w:p>
        </w:tc>
      </w:tr>
      <w:tr>
        <w:tc>
          <w:tcPr>
            <w:tcW w:type="dxa" w:w="2268"/>
          </w:tcPr>
          <w:p>
            <w:pPr>
              <w:spacing w:after="40" w:before="40"/>
            </w:pPr>
            <w:r/>
            <w:r>
              <w:rPr>
                <w:b w:val="0"/>
                <w:sz w:val="20"/>
              </w:rPr>
              <w:t>Nombre y apellidos</w:t>
            </w:r>
          </w:p>
        </w:tc>
        <w:tc>
          <w:tcPr>
            <w:tcW w:type="dxa" w:w="1247"/>
          </w:tcPr>
          <w:p>
            <w:pPr>
              <w:spacing w:after="40" w:before="40"/>
            </w:pPr>
            <w:r/>
            <w:r>
              <w:rPr>
                <w:b w:val="0"/>
                <w:sz w:val="20"/>
              </w:rPr>
              <w:t>Sí</w:t>
            </w:r>
          </w:p>
        </w:tc>
        <w:tc>
          <w:tcPr>
            <w:tcW w:type="dxa" w:w="5556"/>
          </w:tcPr>
          <w:p>
            <w:pPr>
              <w:spacing w:after="40" w:before="40"/>
            </w:pPr>
            <w:r/>
            <w:r>
              <w:rPr>
                <w:b w:val="0"/>
                <w:sz w:val="20"/>
              </w:rPr>
              <w:t>Identificación del solicitante.</w:t>
            </w:r>
          </w:p>
        </w:tc>
      </w:tr>
      <w:tr>
        <w:tc>
          <w:tcPr>
            <w:tcW w:type="dxa" w:w="2268"/>
            <w:shd w:val="clear" w:color="auto" w:fill="E8F1F9"/>
          </w:tcPr>
          <w:p>
            <w:pPr>
              <w:spacing w:after="40" w:before="40"/>
            </w:pPr>
            <w:r/>
            <w:r>
              <w:rPr>
                <w:b w:val="0"/>
                <w:sz w:val="20"/>
              </w:rPr>
              <w:t>Correo electrónico</w:t>
            </w:r>
          </w:p>
        </w:tc>
        <w:tc>
          <w:tcPr>
            <w:tcW w:type="dxa" w:w="1247"/>
            <w:shd w:val="clear" w:color="auto" w:fill="E8F1F9"/>
          </w:tcPr>
          <w:p>
            <w:pPr>
              <w:spacing w:after="40" w:before="40"/>
            </w:pPr>
            <w:r/>
            <w:r>
              <w:rPr>
                <w:b w:val="0"/>
                <w:sz w:val="20"/>
              </w:rPr>
              <w:t>Sí</w:t>
            </w:r>
          </w:p>
        </w:tc>
        <w:tc>
          <w:tcPr>
            <w:tcW w:type="dxa" w:w="5556"/>
            <w:shd w:val="clear" w:color="auto" w:fill="E8F1F9"/>
          </w:tcPr>
          <w:p>
            <w:pPr>
              <w:spacing w:after="40" w:before="40"/>
            </w:pPr>
            <w:r/>
            <w:r>
              <w:rPr>
                <w:b w:val="0"/>
                <w:sz w:val="20"/>
              </w:rPr>
              <w:t>Vía de respuesta del coordinador/secretaría.</w:t>
            </w:r>
          </w:p>
        </w:tc>
      </w:tr>
      <w:tr>
        <w:tc>
          <w:tcPr>
            <w:tcW w:type="dxa" w:w="2268"/>
          </w:tcPr>
          <w:p>
            <w:pPr>
              <w:spacing w:after="40" w:before="40"/>
            </w:pPr>
            <w:r/>
            <w:r>
              <w:rPr>
                <w:b w:val="0"/>
                <w:sz w:val="20"/>
              </w:rPr>
              <w:t>Categoría profesional</w:t>
            </w:r>
          </w:p>
        </w:tc>
        <w:tc>
          <w:tcPr>
            <w:tcW w:type="dxa" w:w="1247"/>
          </w:tcPr>
          <w:p>
            <w:pPr>
              <w:spacing w:after="40" w:before="40"/>
            </w:pPr>
            <w:r/>
            <w:r>
              <w:rPr>
                <w:b w:val="0"/>
                <w:sz w:val="20"/>
              </w:rPr>
              <w:t>Sí</w:t>
            </w:r>
          </w:p>
        </w:tc>
        <w:tc>
          <w:tcPr>
            <w:tcW w:type="dxa" w:w="5556"/>
          </w:tcPr>
          <w:p>
            <w:pPr>
              <w:spacing w:after="40" w:before="40"/>
            </w:pPr>
            <w:r/>
            <w:r>
              <w:rPr>
                <w:b w:val="0"/>
                <w:sz w:val="20"/>
              </w:rPr>
              <w:t>Contexto del perfil; relevante para el encaje (ap. 5.4.b).</w:t>
            </w:r>
          </w:p>
        </w:tc>
      </w:tr>
      <w:tr>
        <w:tc>
          <w:tcPr>
            <w:tcW w:type="dxa" w:w="2268"/>
            <w:shd w:val="clear" w:color="auto" w:fill="E8F1F9"/>
          </w:tcPr>
          <w:p>
            <w:pPr>
              <w:spacing w:after="40" w:before="40"/>
            </w:pPr>
            <w:r/>
            <w:r>
              <w:rPr>
                <w:b w:val="0"/>
                <w:sz w:val="20"/>
              </w:rPr>
              <w:t>Servicio o unidad</w:t>
            </w:r>
          </w:p>
        </w:tc>
        <w:tc>
          <w:tcPr>
            <w:tcW w:type="dxa" w:w="1247"/>
            <w:shd w:val="clear" w:color="auto" w:fill="E8F1F9"/>
          </w:tcPr>
          <w:p>
            <w:pPr>
              <w:spacing w:after="40" w:before="40"/>
            </w:pPr>
            <w:r/>
            <w:r>
              <w:rPr>
                <w:b w:val="0"/>
                <w:sz w:val="20"/>
              </w:rPr>
              <w:t>Sí</w:t>
            </w:r>
          </w:p>
        </w:tc>
        <w:tc>
          <w:tcPr>
            <w:tcW w:type="dxa" w:w="5556"/>
            <w:shd w:val="clear" w:color="auto" w:fill="E8F1F9"/>
          </w:tcPr>
          <w:p>
            <w:pPr>
              <w:spacing w:after="40" w:before="40"/>
            </w:pPr>
            <w:r/>
            <w:r>
              <w:rPr>
                <w:b w:val="0"/>
                <w:sz w:val="20"/>
              </w:rPr>
              <w:t>Multidisciplinariedad y posibles derivaciones.</w:t>
            </w:r>
          </w:p>
        </w:tc>
      </w:tr>
      <w:tr>
        <w:tc>
          <w:tcPr>
            <w:tcW w:type="dxa" w:w="2268"/>
          </w:tcPr>
          <w:p>
            <w:pPr>
              <w:spacing w:after="40" w:before="40"/>
            </w:pPr>
            <w:r/>
            <w:r>
              <w:rPr>
                <w:b w:val="0"/>
                <w:sz w:val="20"/>
              </w:rPr>
              <w:t>Centro</w:t>
            </w:r>
          </w:p>
        </w:tc>
        <w:tc>
          <w:tcPr>
            <w:tcW w:type="dxa" w:w="1247"/>
          </w:tcPr>
          <w:p>
            <w:pPr>
              <w:spacing w:after="40" w:before="40"/>
            </w:pPr>
            <w:r/>
            <w:r>
              <w:rPr>
                <w:b w:val="0"/>
                <w:sz w:val="20"/>
              </w:rPr>
              <w:t>Sí</w:t>
            </w:r>
          </w:p>
        </w:tc>
        <w:tc>
          <w:tcPr>
            <w:tcW w:type="dxa" w:w="5556"/>
          </w:tcPr>
          <w:p>
            <w:pPr>
              <w:spacing w:after="40" w:before="40"/>
            </w:pPr>
            <w:r/>
            <w:r>
              <w:rPr>
                <w:b w:val="0"/>
                <w:sz w:val="20"/>
              </w:rPr>
              <w:t>HUNSC / otro centro del SCS / otra institución (apertura del ap. 5.4).</w:t>
            </w:r>
          </w:p>
        </w:tc>
      </w:tr>
      <w:tr>
        <w:tc>
          <w:tcPr>
            <w:tcW w:type="dxa" w:w="2268"/>
            <w:shd w:val="clear" w:color="auto" w:fill="E8F1F9"/>
          </w:tcPr>
          <w:p>
            <w:pPr>
              <w:spacing w:after="40" w:before="40"/>
            </w:pPr>
            <w:r/>
            <w:r>
              <w:rPr>
                <w:b w:val="0"/>
                <w:sz w:val="20"/>
              </w:rPr>
              <w:t>Teléfono</w:t>
            </w:r>
          </w:p>
        </w:tc>
        <w:tc>
          <w:tcPr>
            <w:tcW w:type="dxa" w:w="1247"/>
            <w:shd w:val="clear" w:color="auto" w:fill="E8F1F9"/>
          </w:tcPr>
          <w:p>
            <w:pPr>
              <w:spacing w:after="40" w:before="40"/>
            </w:pPr>
            <w:r/>
            <w:r>
              <w:rPr>
                <w:b w:val="0"/>
                <w:sz w:val="20"/>
              </w:rPr>
              <w:t>No</w:t>
            </w:r>
          </w:p>
        </w:tc>
        <w:tc>
          <w:tcPr>
            <w:tcW w:type="dxa" w:w="5556"/>
            <w:shd w:val="clear" w:color="auto" w:fill="E8F1F9"/>
          </w:tcPr>
          <w:p>
            <w:pPr>
              <w:spacing w:after="40" w:before="40"/>
            </w:pPr>
            <w:r/>
            <w:r>
              <w:rPr>
                <w:b w:val="0"/>
                <w:sz w:val="20"/>
              </w:rPr>
              <w:t>Contacto alternativo.</w:t>
            </w:r>
          </w:p>
        </w:tc>
      </w:tr>
    </w:tbl>
    <w:p>
      <w:pPr>
        <w:pStyle w:val="Heading2"/>
      </w:pPr>
      <w:r>
        <w:t>3.2. Vía A — Exposición de proyecto</w:t>
      </w:r>
    </w:p>
    <w:p>
      <w:pPr>
        <w:spacing w:after="120"/>
      </w:pPr>
      <w:r>
        <w:rPr>
          <w:b w:val="0"/>
          <w:i/>
          <w:color w:val="5A6573"/>
          <w:sz w:val="20"/>
        </w:rPr>
        <w:t>Los cuatro campos marcados con (5.4.a) son los exigidos literalmente por el reglamento.</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0A4D8C"/>
          </w:tcPr>
          <w:p>
            <w:pPr>
              <w:spacing w:after="40" w:before="40"/>
            </w:pPr>
            <w:r/>
            <w:r>
              <w:rPr>
                <w:b/>
                <w:color w:val="FFFFFF"/>
                <w:sz w:val="20"/>
              </w:rPr>
              <w:t>Campo</w:t>
            </w:r>
          </w:p>
        </w:tc>
        <w:tc>
          <w:tcPr>
            <w:tcW w:type="dxa" w:w="1247"/>
            <w:shd w:val="clear" w:color="auto" w:fill="0A4D8C"/>
          </w:tcPr>
          <w:p>
            <w:pPr>
              <w:spacing w:after="40" w:before="40"/>
            </w:pPr>
            <w:r/>
            <w:r>
              <w:rPr>
                <w:b/>
                <w:color w:val="FFFFFF"/>
                <w:sz w:val="20"/>
              </w:rPr>
              <w:t>Obligatorio</w:t>
            </w:r>
          </w:p>
        </w:tc>
        <w:tc>
          <w:tcPr>
            <w:tcW w:type="dxa" w:w="4989"/>
            <w:shd w:val="clear" w:color="auto" w:fill="0A4D8C"/>
          </w:tcPr>
          <w:p>
            <w:pPr>
              <w:spacing w:after="40" w:before="40"/>
            </w:pPr>
            <w:r/>
            <w:r>
              <w:rPr>
                <w:b/>
                <w:color w:val="FFFFFF"/>
                <w:sz w:val="20"/>
              </w:rPr>
              <w:t>Justificación / referencia</w:t>
            </w:r>
          </w:p>
        </w:tc>
      </w:tr>
      <w:tr>
        <w:tc>
          <w:tcPr>
            <w:tcW w:type="dxa" w:w="2835"/>
          </w:tcPr>
          <w:p>
            <w:pPr>
              <w:spacing w:after="40" w:before="40"/>
            </w:pPr>
            <w:r/>
            <w:r>
              <w:rPr>
                <w:b w:val="0"/>
                <w:sz w:val="20"/>
              </w:rPr>
              <w:t>Título del proyecto</w:t>
            </w:r>
          </w:p>
        </w:tc>
        <w:tc>
          <w:tcPr>
            <w:tcW w:type="dxa" w:w="1247"/>
          </w:tcPr>
          <w:p>
            <w:pPr>
              <w:spacing w:after="40" w:before="40"/>
            </w:pPr>
            <w:r/>
            <w:r>
              <w:rPr>
                <w:b w:val="0"/>
                <w:sz w:val="20"/>
              </w:rPr>
              <w:t>Sí</w:t>
            </w:r>
          </w:p>
        </w:tc>
        <w:tc>
          <w:tcPr>
            <w:tcW w:type="dxa" w:w="4989"/>
          </w:tcPr>
          <w:p>
            <w:pPr>
              <w:spacing w:after="40" w:before="40"/>
            </w:pPr>
            <w:r/>
            <w:r>
              <w:rPr>
                <w:b w:val="0"/>
                <w:sz w:val="20"/>
              </w:rPr>
              <w:t>Exigido por el ap. 5.4.a.</w:t>
            </w:r>
          </w:p>
        </w:tc>
      </w:tr>
      <w:tr>
        <w:tc>
          <w:tcPr>
            <w:tcW w:type="dxa" w:w="2835"/>
            <w:shd w:val="clear" w:color="auto" w:fill="E8F1F9"/>
          </w:tcPr>
          <w:p>
            <w:pPr>
              <w:spacing w:after="40" w:before="40"/>
            </w:pPr>
            <w:r/>
            <w:r>
              <w:rPr>
                <w:b w:val="0"/>
                <w:sz w:val="20"/>
              </w:rPr>
              <w:t>Problema abordado</w:t>
            </w:r>
          </w:p>
        </w:tc>
        <w:tc>
          <w:tcPr>
            <w:tcW w:type="dxa" w:w="1247"/>
            <w:shd w:val="clear" w:color="auto" w:fill="E8F1F9"/>
          </w:tcPr>
          <w:p>
            <w:pPr>
              <w:spacing w:after="40" w:before="40"/>
            </w:pPr>
            <w:r/>
            <w:r>
              <w:rPr>
                <w:b w:val="0"/>
                <w:sz w:val="20"/>
              </w:rPr>
              <w:t>Sí</w:t>
            </w:r>
          </w:p>
        </w:tc>
        <w:tc>
          <w:tcPr>
            <w:tcW w:type="dxa" w:w="4989"/>
            <w:shd w:val="clear" w:color="auto" w:fill="E8F1F9"/>
          </w:tcPr>
          <w:p>
            <w:pPr>
              <w:spacing w:after="40" w:before="40"/>
            </w:pPr>
            <w:r/>
            <w:r>
              <w:rPr>
                <w:b w:val="0"/>
                <w:sz w:val="20"/>
              </w:rPr>
              <w:t>Exigido por el ap. 5.4.a; eje 'problema' del pitch (5.3.b).</w:t>
            </w:r>
          </w:p>
        </w:tc>
      </w:tr>
      <w:tr>
        <w:tc>
          <w:tcPr>
            <w:tcW w:type="dxa" w:w="2835"/>
          </w:tcPr>
          <w:p>
            <w:pPr>
              <w:spacing w:after="40" w:before="40"/>
            </w:pPr>
            <w:r/>
            <w:r>
              <w:rPr>
                <w:b w:val="0"/>
                <w:sz w:val="20"/>
              </w:rPr>
              <w:t>Proceso seguido</w:t>
            </w:r>
          </w:p>
        </w:tc>
        <w:tc>
          <w:tcPr>
            <w:tcW w:type="dxa" w:w="1247"/>
          </w:tcPr>
          <w:p>
            <w:pPr>
              <w:spacing w:after="40" w:before="40"/>
            </w:pPr>
            <w:r/>
            <w:r>
              <w:rPr>
                <w:b w:val="0"/>
                <w:sz w:val="20"/>
              </w:rPr>
              <w:t>No</w:t>
            </w:r>
          </w:p>
        </w:tc>
        <w:tc>
          <w:tcPr>
            <w:tcW w:type="dxa" w:w="4989"/>
          </w:tcPr>
          <w:p>
            <w:pPr>
              <w:spacing w:after="40" w:before="40"/>
            </w:pPr>
            <w:r/>
            <w:r>
              <w:rPr>
                <w:b w:val="0"/>
                <w:sz w:val="20"/>
              </w:rPr>
              <w:t>Eje 'proceso' del pitch (5.3.b); encuadre para el grupo.</w:t>
            </w:r>
          </w:p>
        </w:tc>
      </w:tr>
      <w:tr>
        <w:tc>
          <w:tcPr>
            <w:tcW w:type="dxa" w:w="2835"/>
            <w:shd w:val="clear" w:color="auto" w:fill="E8F1F9"/>
          </w:tcPr>
          <w:p>
            <w:pPr>
              <w:spacing w:after="40" w:before="40"/>
            </w:pPr>
            <w:r/>
            <w:r>
              <w:rPr>
                <w:b w:val="0"/>
                <w:sz w:val="20"/>
              </w:rPr>
              <w:t>Fase del proyecto</w:t>
            </w:r>
          </w:p>
        </w:tc>
        <w:tc>
          <w:tcPr>
            <w:tcW w:type="dxa" w:w="1247"/>
            <w:shd w:val="clear" w:color="auto" w:fill="E8F1F9"/>
          </w:tcPr>
          <w:p>
            <w:pPr>
              <w:spacing w:after="40" w:before="40"/>
            </w:pPr>
            <w:r/>
            <w:r>
              <w:rPr>
                <w:b w:val="0"/>
                <w:sz w:val="20"/>
              </w:rPr>
              <w:t>Sí</w:t>
            </w:r>
          </w:p>
        </w:tc>
        <w:tc>
          <w:tcPr>
            <w:tcW w:type="dxa" w:w="4989"/>
            <w:shd w:val="clear" w:color="auto" w:fill="E8F1F9"/>
          </w:tcPr>
          <w:p>
            <w:pPr>
              <w:spacing w:after="40" w:before="40"/>
            </w:pPr>
            <w:r/>
            <w:r>
              <w:rPr>
                <w:b w:val="0"/>
                <w:sz w:val="20"/>
              </w:rPr>
              <w:t>Exigido por el ap. 5.4.a (idea/diseño/prototipo/validación/producción).</w:t>
            </w:r>
          </w:p>
        </w:tc>
      </w:tr>
      <w:tr>
        <w:tc>
          <w:tcPr>
            <w:tcW w:type="dxa" w:w="2835"/>
          </w:tcPr>
          <w:p>
            <w:pPr>
              <w:spacing w:after="40" w:before="40"/>
            </w:pPr>
            <w:r/>
            <w:r>
              <w:rPr>
                <w:b w:val="0"/>
                <w:sz w:val="20"/>
              </w:rPr>
              <w:t>Aspecto sobre el que se solicita retorno</w:t>
            </w:r>
          </w:p>
        </w:tc>
        <w:tc>
          <w:tcPr>
            <w:tcW w:type="dxa" w:w="1247"/>
          </w:tcPr>
          <w:p>
            <w:pPr>
              <w:spacing w:after="40" w:before="40"/>
            </w:pPr>
            <w:r/>
            <w:r>
              <w:rPr>
                <w:b w:val="0"/>
                <w:sz w:val="20"/>
              </w:rPr>
              <w:t>Sí</w:t>
            </w:r>
          </w:p>
        </w:tc>
        <w:tc>
          <w:tcPr>
            <w:tcW w:type="dxa" w:w="4989"/>
          </w:tcPr>
          <w:p>
            <w:pPr>
              <w:spacing w:after="40" w:before="40"/>
            </w:pPr>
            <w:r/>
            <w:r>
              <w:rPr>
                <w:b w:val="0"/>
                <w:sz w:val="20"/>
              </w:rPr>
              <w:t>Exigido por el ap. 5.4.a.</w:t>
            </w:r>
          </w:p>
        </w:tc>
      </w:tr>
      <w:tr>
        <w:tc>
          <w:tcPr>
            <w:tcW w:type="dxa" w:w="2835"/>
            <w:shd w:val="clear" w:color="auto" w:fill="E8F1F9"/>
          </w:tcPr>
          <w:p>
            <w:pPr>
              <w:spacing w:after="40" w:before="40"/>
            </w:pPr>
            <w:r/>
            <w:r>
              <w:rPr>
                <w:b w:val="0"/>
                <w:sz w:val="20"/>
              </w:rPr>
              <w:t>¿Implica datos de pacientes/personales?</w:t>
            </w:r>
          </w:p>
        </w:tc>
        <w:tc>
          <w:tcPr>
            <w:tcW w:type="dxa" w:w="1247"/>
            <w:shd w:val="clear" w:color="auto" w:fill="E8F1F9"/>
          </w:tcPr>
          <w:p>
            <w:pPr>
              <w:spacing w:after="40" w:before="40"/>
            </w:pPr>
            <w:r/>
            <w:r>
              <w:rPr>
                <w:b w:val="0"/>
                <w:sz w:val="20"/>
              </w:rPr>
              <w:t>Sí</w:t>
            </w:r>
          </w:p>
        </w:tc>
        <w:tc>
          <w:tcPr>
            <w:tcW w:type="dxa" w:w="4989"/>
            <w:shd w:val="clear" w:color="auto" w:fill="E8F1F9"/>
          </w:tcPr>
          <w:p>
            <w:pPr>
              <w:spacing w:after="40" w:before="40"/>
            </w:pPr>
            <w:r/>
            <w:r>
              <w:rPr>
                <w:b w:val="0"/>
                <w:sz w:val="20"/>
              </w:rPr>
              <w:t>Anticipa coordinación con TIC/Calidad/DPD (ap. 2.4).</w:t>
            </w:r>
          </w:p>
        </w:tc>
      </w:tr>
      <w:tr>
        <w:tc>
          <w:tcPr>
            <w:tcW w:type="dxa" w:w="2835"/>
          </w:tcPr>
          <w:p>
            <w:pPr>
              <w:spacing w:after="40" w:before="40"/>
            </w:pPr>
            <w:r/>
            <w:r>
              <w:rPr>
                <w:b w:val="0"/>
                <w:sz w:val="20"/>
              </w:rPr>
              <w:t>¿Usa herramientas de IA? ¿Cuáles?</w:t>
            </w:r>
          </w:p>
        </w:tc>
        <w:tc>
          <w:tcPr>
            <w:tcW w:type="dxa" w:w="1247"/>
          </w:tcPr>
          <w:p>
            <w:pPr>
              <w:spacing w:after="40" w:before="40"/>
            </w:pPr>
            <w:r/>
            <w:r>
              <w:rPr>
                <w:b w:val="0"/>
                <w:sz w:val="20"/>
              </w:rPr>
              <w:t>No</w:t>
            </w:r>
          </w:p>
        </w:tc>
        <w:tc>
          <w:tcPr>
            <w:tcW w:type="dxa" w:w="4989"/>
          </w:tcPr>
          <w:p>
            <w:pPr>
              <w:spacing w:after="40" w:before="40"/>
            </w:pPr>
            <w:r/>
            <w:r>
              <w:rPr>
                <w:b w:val="0"/>
                <w:sz w:val="20"/>
              </w:rPr>
              <w:t>Contexto técnico de la propuesta.</w:t>
            </w:r>
          </w:p>
        </w:tc>
      </w:tr>
      <w:tr>
        <w:tc>
          <w:tcPr>
            <w:tcW w:type="dxa" w:w="2835"/>
            <w:shd w:val="clear" w:color="auto" w:fill="E8F1F9"/>
          </w:tcPr>
          <w:p>
            <w:pPr>
              <w:spacing w:after="40" w:before="40"/>
            </w:pPr>
            <w:r/>
            <w:r>
              <w:rPr>
                <w:b w:val="0"/>
                <w:sz w:val="20"/>
              </w:rPr>
              <w:t>Enlace a documentación/demo</w:t>
            </w:r>
          </w:p>
        </w:tc>
        <w:tc>
          <w:tcPr>
            <w:tcW w:type="dxa" w:w="1247"/>
            <w:shd w:val="clear" w:color="auto" w:fill="E8F1F9"/>
          </w:tcPr>
          <w:p>
            <w:pPr>
              <w:spacing w:after="40" w:before="40"/>
            </w:pPr>
            <w:r/>
            <w:r>
              <w:rPr>
                <w:b w:val="0"/>
                <w:sz w:val="20"/>
              </w:rPr>
              <w:t>No</w:t>
            </w:r>
          </w:p>
        </w:tc>
        <w:tc>
          <w:tcPr>
            <w:tcW w:type="dxa" w:w="4989"/>
            <w:shd w:val="clear" w:color="auto" w:fill="E8F1F9"/>
          </w:tcPr>
          <w:p>
            <w:pPr>
              <w:spacing w:after="40" w:before="40"/>
            </w:pPr>
            <w:r/>
            <w:r>
              <w:rPr>
                <w:b w:val="0"/>
                <w:sz w:val="20"/>
              </w:rPr>
              <w:t>No hay subida de ficheros sin backend pesado; se usa un enlace.</w:t>
            </w:r>
          </w:p>
        </w:tc>
      </w:tr>
      <w:tr>
        <w:tc>
          <w:tcPr>
            <w:tcW w:type="dxa" w:w="2835"/>
          </w:tcPr>
          <w:p>
            <w:pPr>
              <w:spacing w:after="40" w:before="40"/>
            </w:pPr>
            <w:r/>
            <w:r>
              <w:rPr>
                <w:b w:val="0"/>
                <w:sz w:val="20"/>
              </w:rPr>
              <w:t>Disponibilidad / fechas</w:t>
            </w:r>
          </w:p>
        </w:tc>
        <w:tc>
          <w:tcPr>
            <w:tcW w:type="dxa" w:w="1247"/>
          </w:tcPr>
          <w:p>
            <w:pPr>
              <w:spacing w:after="40" w:before="40"/>
            </w:pPr>
            <w:r/>
            <w:r>
              <w:rPr>
                <w:b w:val="0"/>
                <w:sz w:val="20"/>
              </w:rPr>
              <w:t>No</w:t>
            </w:r>
          </w:p>
        </w:tc>
        <w:tc>
          <w:tcPr>
            <w:tcW w:type="dxa" w:w="4989"/>
          </w:tcPr>
          <w:p>
            <w:pPr>
              <w:spacing w:after="40" w:before="40"/>
            </w:pPr>
            <w:r/>
            <w:r>
              <w:rPr>
                <w:b w:val="0"/>
                <w:sz w:val="20"/>
              </w:rPr>
              <w:t>Facilita encajar la exposición en la agenda (ap. 5.4.b).</w:t>
            </w:r>
          </w:p>
        </w:tc>
      </w:tr>
    </w:tbl>
    <w:p>
      <w:pPr>
        <w:pStyle w:val="Heading2"/>
      </w:pPr>
      <w:r>
        <w:t>3.3. Vía B — Consulta / asesoramiento puntual</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0A4D8C"/>
          </w:tcPr>
          <w:p>
            <w:pPr>
              <w:spacing w:after="40" w:before="40"/>
            </w:pPr>
            <w:r/>
            <w:r>
              <w:rPr>
                <w:b/>
                <w:color w:val="FFFFFF"/>
                <w:sz w:val="20"/>
              </w:rPr>
              <w:t>Campo</w:t>
            </w:r>
          </w:p>
        </w:tc>
        <w:tc>
          <w:tcPr>
            <w:tcW w:type="dxa" w:w="1247"/>
            <w:shd w:val="clear" w:color="auto" w:fill="0A4D8C"/>
          </w:tcPr>
          <w:p>
            <w:pPr>
              <w:spacing w:after="40" w:before="40"/>
            </w:pPr>
            <w:r/>
            <w:r>
              <w:rPr>
                <w:b/>
                <w:color w:val="FFFFFF"/>
                <w:sz w:val="20"/>
              </w:rPr>
              <w:t>Obligatorio</w:t>
            </w:r>
          </w:p>
        </w:tc>
        <w:tc>
          <w:tcPr>
            <w:tcW w:type="dxa" w:w="4989"/>
            <w:shd w:val="clear" w:color="auto" w:fill="0A4D8C"/>
          </w:tcPr>
          <w:p>
            <w:pPr>
              <w:spacing w:after="40" w:before="40"/>
            </w:pPr>
            <w:r/>
            <w:r>
              <w:rPr>
                <w:b/>
                <w:color w:val="FFFFFF"/>
                <w:sz w:val="20"/>
              </w:rPr>
              <w:t>Justificación / referencia</w:t>
            </w:r>
          </w:p>
        </w:tc>
      </w:tr>
      <w:tr>
        <w:tc>
          <w:tcPr>
            <w:tcW w:type="dxa" w:w="2835"/>
          </w:tcPr>
          <w:p>
            <w:pPr>
              <w:spacing w:after="40" w:before="40"/>
            </w:pPr>
            <w:r/>
            <w:r>
              <w:rPr>
                <w:b w:val="0"/>
                <w:sz w:val="20"/>
              </w:rPr>
              <w:t>Asunto</w:t>
            </w:r>
          </w:p>
        </w:tc>
        <w:tc>
          <w:tcPr>
            <w:tcW w:type="dxa" w:w="1247"/>
          </w:tcPr>
          <w:p>
            <w:pPr>
              <w:spacing w:after="40" w:before="40"/>
            </w:pPr>
            <w:r/>
            <w:r>
              <w:rPr>
                <w:b w:val="0"/>
                <w:sz w:val="20"/>
              </w:rPr>
              <w:t>Sí</w:t>
            </w:r>
          </w:p>
        </w:tc>
        <w:tc>
          <w:tcPr>
            <w:tcW w:type="dxa" w:w="4989"/>
          </w:tcPr>
          <w:p>
            <w:pPr>
              <w:spacing w:after="40" w:before="40"/>
            </w:pPr>
            <w:r/>
            <w:r>
              <w:rPr>
                <w:b w:val="0"/>
                <w:sz w:val="20"/>
              </w:rPr>
              <w:t>Identifica la consulta.</w:t>
            </w:r>
          </w:p>
        </w:tc>
      </w:tr>
      <w:tr>
        <w:tc>
          <w:tcPr>
            <w:tcW w:type="dxa" w:w="2835"/>
            <w:shd w:val="clear" w:color="auto" w:fill="E8F1F9"/>
          </w:tcPr>
          <w:p>
            <w:pPr>
              <w:spacing w:after="40" w:before="40"/>
            </w:pPr>
            <w:r/>
            <w:r>
              <w:rPr>
                <w:b w:val="0"/>
                <w:sz w:val="20"/>
              </w:rPr>
              <w:t>Descripción de la consulta</w:t>
            </w:r>
          </w:p>
        </w:tc>
        <w:tc>
          <w:tcPr>
            <w:tcW w:type="dxa" w:w="1247"/>
            <w:shd w:val="clear" w:color="auto" w:fill="E8F1F9"/>
          </w:tcPr>
          <w:p>
            <w:pPr>
              <w:spacing w:after="40" w:before="40"/>
            </w:pPr>
            <w:r/>
            <w:r>
              <w:rPr>
                <w:b w:val="0"/>
                <w:sz w:val="20"/>
              </w:rPr>
              <w:t>Sí</w:t>
            </w:r>
          </w:p>
        </w:tc>
        <w:tc>
          <w:tcPr>
            <w:tcW w:type="dxa" w:w="4989"/>
            <w:shd w:val="clear" w:color="auto" w:fill="E8F1F9"/>
          </w:tcPr>
          <w:p>
            <w:pPr>
              <w:spacing w:after="40" w:before="40"/>
            </w:pPr>
            <w:r/>
            <w:r>
              <w:rPr>
                <w:b w:val="0"/>
                <w:sz w:val="20"/>
              </w:rPr>
              <w:t>Contenido del asesoramiento solicitado (ap. 2.3.c).</w:t>
            </w:r>
          </w:p>
        </w:tc>
      </w:tr>
      <w:tr>
        <w:tc>
          <w:tcPr>
            <w:tcW w:type="dxa" w:w="2835"/>
          </w:tcPr>
          <w:p>
            <w:pPr>
              <w:spacing w:after="40" w:before="40"/>
            </w:pPr>
            <w:r/>
            <w:r>
              <w:rPr>
                <w:b w:val="0"/>
                <w:sz w:val="20"/>
              </w:rPr>
              <w:t>Tipo de consulta</w:t>
            </w:r>
          </w:p>
        </w:tc>
        <w:tc>
          <w:tcPr>
            <w:tcW w:type="dxa" w:w="1247"/>
          </w:tcPr>
          <w:p>
            <w:pPr>
              <w:spacing w:after="40" w:before="40"/>
            </w:pPr>
            <w:r/>
            <w:r>
              <w:rPr>
                <w:b w:val="0"/>
                <w:sz w:val="20"/>
              </w:rPr>
              <w:t>Sí</w:t>
            </w:r>
          </w:p>
        </w:tc>
        <w:tc>
          <w:tcPr>
            <w:tcW w:type="dxa" w:w="4989"/>
          </w:tcPr>
          <w:p>
            <w:pPr>
              <w:spacing w:after="40" w:before="40"/>
            </w:pPr>
            <w:r/>
            <w:r>
              <w:rPr>
                <w:b w:val="0"/>
                <w:sz w:val="20"/>
              </w:rPr>
              <w:t>Herramienta / metodología / proyecto / normativa / otro.</w:t>
            </w:r>
          </w:p>
        </w:tc>
      </w:tr>
      <w:tr>
        <w:tc>
          <w:tcPr>
            <w:tcW w:type="dxa" w:w="2835"/>
            <w:shd w:val="clear" w:color="auto" w:fill="E8F1F9"/>
          </w:tcPr>
          <w:p>
            <w:pPr>
              <w:spacing w:after="40" w:before="40"/>
            </w:pPr>
            <w:r/>
            <w:r>
              <w:rPr>
                <w:b w:val="0"/>
                <w:sz w:val="20"/>
              </w:rPr>
              <w:t>¿En nombre de?</w:t>
            </w:r>
          </w:p>
        </w:tc>
        <w:tc>
          <w:tcPr>
            <w:tcW w:type="dxa" w:w="1247"/>
            <w:shd w:val="clear" w:color="auto" w:fill="E8F1F9"/>
          </w:tcPr>
          <w:p>
            <w:pPr>
              <w:spacing w:after="40" w:before="40"/>
            </w:pPr>
            <w:r/>
            <w:r>
              <w:rPr>
                <w:b w:val="0"/>
                <w:sz w:val="20"/>
              </w:rPr>
              <w:t>Sí</w:t>
            </w:r>
          </w:p>
        </w:tc>
        <w:tc>
          <w:tcPr>
            <w:tcW w:type="dxa" w:w="4989"/>
            <w:shd w:val="clear" w:color="auto" w:fill="E8F1F9"/>
          </w:tcPr>
          <w:p>
            <w:pPr>
              <w:spacing w:after="40" w:before="40"/>
            </w:pPr>
            <w:r/>
            <w:r>
              <w:rPr>
                <w:b w:val="0"/>
                <w:sz w:val="20"/>
              </w:rPr>
              <w:t>Servicio, comisión, unidad o dirección (ap. 2.3.c).</w:t>
            </w:r>
          </w:p>
        </w:tc>
      </w:tr>
      <w:tr>
        <w:tc>
          <w:tcPr>
            <w:tcW w:type="dxa" w:w="2835"/>
          </w:tcPr>
          <w:p>
            <w:pPr>
              <w:spacing w:after="40" w:before="40"/>
            </w:pPr>
            <w:r/>
            <w:r>
              <w:rPr>
                <w:b w:val="0"/>
                <w:sz w:val="20"/>
              </w:rPr>
              <w:t>Plazo o urgencia</w:t>
            </w:r>
          </w:p>
        </w:tc>
        <w:tc>
          <w:tcPr>
            <w:tcW w:type="dxa" w:w="1247"/>
          </w:tcPr>
          <w:p>
            <w:pPr>
              <w:spacing w:after="40" w:before="40"/>
            </w:pPr>
            <w:r/>
            <w:r>
              <w:rPr>
                <w:b w:val="0"/>
                <w:sz w:val="20"/>
              </w:rPr>
              <w:t>No</w:t>
            </w:r>
          </w:p>
        </w:tc>
        <w:tc>
          <w:tcPr>
            <w:tcW w:type="dxa" w:w="4989"/>
          </w:tcPr>
          <w:p>
            <w:pPr>
              <w:spacing w:after="40" w:before="40"/>
            </w:pPr>
            <w:r/>
            <w:r>
              <w:rPr>
                <w:b w:val="0"/>
                <w:sz w:val="20"/>
              </w:rPr>
              <w:t>Ayuda a priorizar la respuesta.</w:t>
            </w:r>
          </w:p>
        </w:tc>
      </w:tr>
    </w:tbl>
    <w:p>
      <w:pPr>
        <w:pStyle w:val="Heading2"/>
      </w:pPr>
      <w:r>
        <w:t>3.4. Cierre común</w:t>
      </w:r>
    </w:p>
    <w:p>
      <w:pPr>
        <w:pStyle w:val="ListBullet"/>
        <w:spacing w:after="60"/>
      </w:pPr>
      <w:r>
        <w:t>¿Cómo conociste al grupo? (opcional) — apoya la memoria anual de actividad (ap. 4.4).</w:t>
      </w:r>
    </w:p>
    <w:p>
      <w:pPr>
        <w:pStyle w:val="ListBullet"/>
        <w:spacing w:after="60"/>
      </w:pPr>
      <w:r>
        <w:t>Casilla de consentimiento RGPD obligatoria, con acordeón que despliega la cláusula informativa completa (sección 6).</w:t>
      </w:r>
    </w:p>
    <w:p>
      <w:pPr>
        <w:pStyle w:val="ListBullet"/>
        <w:spacing w:after="60"/>
      </w:pPr>
      <w:r>
        <w:t>Botón de envío con estado de carga y mensaje de éxito o error, sin recargar la página.</w:t>
      </w:r>
    </w:p>
    <w:p>
      <w:pPr>
        <w:pStyle w:val="Heading1"/>
      </w:pPr>
      <w:r>
        <w:t>4. Comparativa de canales de recepción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0A4D8C"/>
          </w:tcPr>
          <w:p>
            <w:pPr>
              <w:spacing w:after="40" w:before="40"/>
            </w:pPr>
            <w:r/>
            <w:r>
              <w:rPr>
                <w:b/>
                <w:color w:val="FFFFFF"/>
                <w:sz w:val="20"/>
              </w:rPr>
              <w:t>Opción</w:t>
            </w:r>
          </w:p>
        </w:tc>
        <w:tc>
          <w:tcPr>
            <w:tcW w:type="dxa" w:w="1247"/>
            <w:shd w:val="clear" w:color="auto" w:fill="0A4D8C"/>
          </w:tcPr>
          <w:p>
            <w:pPr>
              <w:spacing w:after="40" w:before="40"/>
            </w:pPr>
            <w:r/>
            <w:r>
              <w:rPr>
                <w:b/>
                <w:color w:val="FFFFFF"/>
                <w:sz w:val="20"/>
              </w:rPr>
              <w:t>Coste</w:t>
            </w:r>
          </w:p>
        </w:tc>
        <w:tc>
          <w:tcPr>
            <w:tcW w:type="dxa" w:w="2154"/>
            <w:shd w:val="clear" w:color="auto" w:fill="0A4D8C"/>
          </w:tcPr>
          <w:p>
            <w:pPr>
              <w:spacing w:after="40" w:before="40"/>
            </w:pPr>
            <w:r/>
            <w:r>
              <w:rPr>
                <w:b/>
                <w:color w:val="FFFFFF"/>
                <w:sz w:val="20"/>
              </w:rPr>
              <w:t>Datos</w:t>
            </w:r>
          </w:p>
        </w:tc>
        <w:tc>
          <w:tcPr>
            <w:tcW w:type="dxa" w:w="1020"/>
            <w:shd w:val="clear" w:color="auto" w:fill="0A4D8C"/>
          </w:tcPr>
          <w:p>
            <w:pPr>
              <w:spacing w:after="40" w:before="40"/>
            </w:pPr>
            <w:r/>
            <w:r>
              <w:rPr>
                <w:b/>
                <w:color w:val="FFFFFF"/>
                <w:sz w:val="20"/>
              </w:rPr>
              <w:t>Adjuntos</w:t>
            </w:r>
          </w:p>
        </w:tc>
        <w:tc>
          <w:tcPr>
            <w:tcW w:type="dxa" w:w="2948"/>
            <w:shd w:val="clear" w:color="auto" w:fill="0A4D8C"/>
          </w:tcPr>
          <w:p>
            <w:pPr>
              <w:spacing w:after="40" w:before="40"/>
            </w:pPr>
            <w:r/>
            <w:r>
              <w:rPr>
                <w:b/>
                <w:color w:val="FFFFFF"/>
                <w:sz w:val="20"/>
              </w:rPr>
              <w:t>Valoración</w:t>
            </w:r>
          </w:p>
        </w:tc>
      </w:tr>
      <w:tr>
        <w:tc>
          <w:tcPr>
            <w:tcW w:type="dxa" w:w="1701"/>
          </w:tcPr>
          <w:p>
            <w:pPr>
              <w:spacing w:after="40" w:before="40"/>
            </w:pPr>
            <w:r/>
            <w:r>
              <w:rPr>
                <w:b w:val="0"/>
                <w:sz w:val="20"/>
              </w:rPr>
              <w:t>Google Apps Script</w:t>
              <w:br/>
              <w:t>(elegida)</w:t>
            </w:r>
          </w:p>
        </w:tc>
        <w:tc>
          <w:tcPr>
            <w:tcW w:type="dxa" w:w="1247"/>
          </w:tcPr>
          <w:p>
            <w:pPr>
              <w:spacing w:after="40" w:before="40"/>
            </w:pPr>
            <w:r/>
            <w:r>
              <w:rPr>
                <w:b w:val="0"/>
                <w:sz w:val="20"/>
              </w:rPr>
              <w:t>Gratis</w:t>
            </w:r>
          </w:p>
        </w:tc>
        <w:tc>
          <w:tcPr>
            <w:tcW w:type="dxa" w:w="2154"/>
          </w:tcPr>
          <w:p>
            <w:pPr>
              <w:spacing w:after="40" w:before="40"/>
            </w:pPr>
            <w:r/>
            <w:r>
              <w:rPr>
                <w:b w:val="0"/>
                <w:sz w:val="20"/>
              </w:rPr>
              <w:t>En cuenta Google (revisar RGPD/ENS)</w:t>
            </w:r>
          </w:p>
        </w:tc>
        <w:tc>
          <w:tcPr>
            <w:tcW w:type="dxa" w:w="1020"/>
          </w:tcPr>
          <w:p>
            <w:pPr>
              <w:spacing w:after="40" w:before="40"/>
            </w:pPr>
            <w:r/>
            <w:r>
              <w:rPr>
                <w:b w:val="0"/>
                <w:sz w:val="20"/>
              </w:rPr>
              <w:t>No</w:t>
            </w:r>
          </w:p>
        </w:tc>
        <w:tc>
          <w:tcPr>
            <w:tcW w:type="dxa" w:w="2948"/>
          </w:tcPr>
          <w:p>
            <w:pPr>
              <w:spacing w:after="40" w:before="40"/>
            </w:pPr>
            <w:r/>
            <w:r>
              <w:rPr>
                <w:b w:val="0"/>
                <w:sz w:val="20"/>
              </w:rPr>
              <w:t>Correo + Hoja de trazabilidad sin terceros ajenos a Google. Buena para la versión inicial.</w:t>
            </w:r>
          </w:p>
        </w:tc>
      </w:tr>
      <w:tr>
        <w:tc>
          <w:tcPr>
            <w:tcW w:type="dxa" w:w="1701"/>
            <w:shd w:val="clear" w:color="auto" w:fill="E8F1F9"/>
          </w:tcPr>
          <w:p>
            <w:pPr>
              <w:spacing w:after="40" w:before="40"/>
            </w:pPr>
            <w:r/>
            <w:r>
              <w:rPr>
                <w:b w:val="0"/>
                <w:sz w:val="20"/>
              </w:rPr>
              <w:t>Formspree u otros</w:t>
            </w:r>
          </w:p>
        </w:tc>
        <w:tc>
          <w:tcPr>
            <w:tcW w:type="dxa" w:w="1247"/>
            <w:shd w:val="clear" w:color="auto" w:fill="E8F1F9"/>
          </w:tcPr>
          <w:p>
            <w:pPr>
              <w:spacing w:after="40" w:before="40"/>
            </w:pPr>
            <w:r/>
            <w:r>
              <w:rPr>
                <w:b w:val="0"/>
                <w:sz w:val="20"/>
              </w:rPr>
              <w:t>Capa gratuita</w:t>
            </w:r>
          </w:p>
        </w:tc>
        <w:tc>
          <w:tcPr>
            <w:tcW w:type="dxa" w:w="2154"/>
            <w:shd w:val="clear" w:color="auto" w:fill="E8F1F9"/>
          </w:tcPr>
          <w:p>
            <w:pPr>
              <w:spacing w:after="40" w:before="40"/>
            </w:pPr>
            <w:r/>
            <w:r>
              <w:rPr>
                <w:b w:val="0"/>
                <w:sz w:val="20"/>
              </w:rPr>
              <w:t>Salen a un proveedor tercero</w:t>
            </w:r>
          </w:p>
        </w:tc>
        <w:tc>
          <w:tcPr>
            <w:tcW w:type="dxa" w:w="1020"/>
            <w:shd w:val="clear" w:color="auto" w:fill="E8F1F9"/>
          </w:tcPr>
          <w:p>
            <w:pPr>
              <w:spacing w:after="40" w:before="40"/>
            </w:pPr>
            <w:r/>
            <w:r>
              <w:rPr>
                <w:b w:val="0"/>
                <w:sz w:val="20"/>
              </w:rPr>
              <w:t>Sí (de pago)</w:t>
            </w:r>
          </w:p>
        </w:tc>
        <w:tc>
          <w:tcPr>
            <w:tcW w:type="dxa" w:w="2948"/>
            <w:shd w:val="clear" w:color="auto" w:fill="E8F1F9"/>
          </w:tcPr>
          <w:p>
            <w:pPr>
              <w:spacing w:after="40" w:before="40"/>
            </w:pPr>
            <w:r/>
            <w:r>
              <w:rPr>
                <w:b w:val="0"/>
                <w:sz w:val="20"/>
              </w:rPr>
              <w:t>Cómodo, pero los datos pasan por un tercero: peor encaje RGPD/ENS.</w:t>
            </w:r>
          </w:p>
        </w:tc>
      </w:tr>
      <w:tr>
        <w:tc>
          <w:tcPr>
            <w:tcW w:type="dxa" w:w="1701"/>
          </w:tcPr>
          <w:p>
            <w:pPr>
              <w:spacing w:after="40" w:before="40"/>
            </w:pPr>
            <w:r/>
            <w:r>
              <w:rPr>
                <w:b w:val="0"/>
                <w:sz w:val="20"/>
              </w:rPr>
              <w:t>Microsoft Forms</w:t>
              <w:br/>
              <w:t>(institucional)</w:t>
            </w:r>
          </w:p>
        </w:tc>
        <w:tc>
          <w:tcPr>
            <w:tcW w:type="dxa" w:w="1247"/>
          </w:tcPr>
          <w:p>
            <w:pPr>
              <w:spacing w:after="40" w:before="40"/>
            </w:pPr>
            <w:r/>
            <w:r>
              <w:rPr>
                <w:b w:val="0"/>
                <w:sz w:val="20"/>
              </w:rPr>
              <w:t>Incluido si hay M365</w:t>
            </w:r>
          </w:p>
        </w:tc>
        <w:tc>
          <w:tcPr>
            <w:tcW w:type="dxa" w:w="2154"/>
          </w:tcPr>
          <w:p>
            <w:pPr>
              <w:spacing w:after="40" w:before="40"/>
            </w:pPr>
            <w:r/>
            <w:r>
              <w:rPr>
                <w:b w:val="0"/>
                <w:sz w:val="20"/>
              </w:rPr>
              <w:t>Dentro del entorno corporativo</w:t>
            </w:r>
          </w:p>
        </w:tc>
        <w:tc>
          <w:tcPr>
            <w:tcW w:type="dxa" w:w="1020"/>
          </w:tcPr>
          <w:p>
            <w:pPr>
              <w:spacing w:after="40" w:before="40"/>
            </w:pPr>
            <w:r/>
            <w:r>
              <w:rPr>
                <w:b w:val="0"/>
                <w:sz w:val="20"/>
              </w:rPr>
              <w:t>Sí</w:t>
            </w:r>
          </w:p>
        </w:tc>
        <w:tc>
          <w:tcPr>
            <w:tcW w:type="dxa" w:w="2948"/>
          </w:tcPr>
          <w:p>
            <w:pPr>
              <w:spacing w:after="40" w:before="40"/>
            </w:pPr>
            <w:r/>
            <w:r>
              <w:rPr>
                <w:b w:val="0"/>
                <w:sz w:val="20"/>
              </w:rPr>
              <w:t>Mejor encaje legal y permite adjuntos. Recomendado como destino final si el SCS dispone de M365.</w:t>
            </w:r>
          </w:p>
        </w:tc>
      </w:tr>
    </w:tbl>
    <w:p>
      <w:pPr>
        <w:pStyle w:val="Heading1"/>
      </w:pPr>
      <w:r>
        <w:t>5. Arquitectura técnica y despliegue</w:t>
      </w:r>
    </w:p>
    <w:p>
      <w:pPr>
        <w:spacing w:after="120"/>
      </w:pPr>
      <w:r>
        <w:rPr>
          <w:b w:val="0"/>
          <w:i/>
          <w:color w:val="5A6573"/>
          <w:sz w:val="22"/>
        </w:rPr>
        <w:t>Profesional → index.html → (fetch POST) → Google Apps Script → Hoja de cálculo (trazabilidad, ap. 5.5) y correo al coordinador/secretaría.</w:t>
      </w:r>
    </w:p>
    <w:p>
      <w:pPr>
        <w:pStyle w:val="ListBullet"/>
        <w:spacing w:after="60"/>
      </w:pPr>
      <w:r>
        <w:t>index.html: HTML + CSS + JavaScript en un único archivo, sin dependencias externas. Una constante de configuración recibe la URL del backend.</w:t>
      </w:r>
    </w:p>
    <w:p>
      <w:pPr>
        <w:pStyle w:val="ListBullet"/>
        <w:spacing w:after="60"/>
      </w:pPr>
      <w:r>
        <w:t>apps-script/Codigo.gs: función doPost que valida, registra la fila en la Hoja y envía el correo de aviso; doGet de comprobación de estado.</w:t>
      </w:r>
    </w:p>
    <w:p>
      <w:pPr>
        <w:pStyle w:val="ListBullet"/>
        <w:spacing w:after="60"/>
      </w:pPr>
      <w:r>
        <w:t>Alojamiento gratuito de la página: intranet del HUNSC (recomendado), GitHub Pages u otro hosting estático. Los pasos detallados están en el archivo README.md de la entrega.</w:t>
      </w:r>
    </w:p>
    <w:p>
      <w:pPr>
        <w:pStyle w:val="Heading1"/>
      </w:pPr>
      <w:r>
        <w:t>6. Cláusula informativa de protección de datos (BORRADOR)</w:t>
      </w:r>
    </w:p>
    <w:tbl>
      <w:tblPr>
        <w:tblStyle w:val="TableGrid"/>
        <w:tblW w:type="auto" w:w="0"/>
        <w:jc w:val="center"/>
        <w:tblLook w:firstColumn="1" w:firstRow="1" w:lastColumn="0" w:lastRow="0" w:noHBand="0" w:noVBand="1" w:val="04A0"/>
      </w:tblPr>
      <w:tblGrid>
        <w:gridCol w:w="8640"/>
      </w:tblGrid>
      <w:tr>
        <w:tc>
          <w:tcPr>
            <w:tcW w:type="dxa" w:w="8640"/>
            <w:shd w:val="clear" w:color="auto" w:fill="FFF4D6"/>
          </w:tcPr>
          <w:p>
            <w:r/>
            <w:r>
              <w:rPr>
                <w:b w:val="0"/>
                <w:sz w:val="20"/>
              </w:rPr>
              <w:t>⚠  Texto BORRADOR pendiente de validación por el Delegado de Protección de Datos (DPD) del Servicio Canario de la Salud. Los datos del responsable, el DPD y los plazos de conservación deben confirmarse antes de publicar el formulario.</w:t>
            </w:r>
          </w:p>
        </w:tc>
      </w:tr>
    </w:tbl>
    <w:p/>
    <w:p>
      <w:pPr>
        <w:spacing w:after="80"/>
      </w:pPr>
      <w:r>
        <w:rPr>
          <w:b/>
          <w:color w:val="073A6B"/>
        </w:rPr>
        <w:t xml:space="preserve">Responsable: </w:t>
      </w:r>
      <w:r>
        <w:t>Hospital Universitario Nuestra Señora de Candelaria — Servicio Canario de la Salud (Unidad de Calidad y Seguridad del Paciente, de la que depende el grupo).</w:t>
      </w:r>
    </w:p>
    <w:p>
      <w:pPr>
        <w:spacing w:after="80"/>
      </w:pPr>
      <w:r>
        <w:rPr>
          <w:b/>
          <w:color w:val="073A6B"/>
        </w:rPr>
        <w:t xml:space="preserve">Finalidad: </w:t>
      </w:r>
      <w:r>
        <w:t>Gestionar y dar trámite a las solicitudes de exposición de proyectos y a las consultas dirigidas al grupo, y contactar con la persona solicitante.</w:t>
      </w:r>
    </w:p>
    <w:p>
      <w:pPr>
        <w:spacing w:after="80"/>
      </w:pPr>
      <w:r>
        <w:rPr>
          <w:b/>
          <w:color w:val="073A6B"/>
        </w:rPr>
        <w:t xml:space="preserve">Base jurídica: </w:t>
      </w:r>
      <w:r>
        <w:t>Consentimiento de la persona interesada y cumplimiento de una misión realizada en interés público (art. 6.1.a y 6.1.e RGPD).</w:t>
      </w:r>
    </w:p>
    <w:p>
      <w:pPr>
        <w:spacing w:after="80"/>
      </w:pPr>
      <w:r>
        <w:rPr>
          <w:b/>
          <w:color w:val="073A6B"/>
        </w:rPr>
        <w:t xml:space="preserve">Destinatarios: </w:t>
      </w:r>
      <w:r>
        <w:t>Miembros del grupo (coordinación y secretaría) y, en su caso, unidades institucionales competentes del HUNSC a las que deba derivarse la solicitud.</w:t>
      </w:r>
    </w:p>
    <w:p>
      <w:pPr>
        <w:spacing w:after="80"/>
      </w:pPr>
      <w:r>
        <w:rPr>
          <w:b/>
          <w:color w:val="073A6B"/>
        </w:rPr>
        <w:t xml:space="preserve">Conservación: </w:t>
      </w:r>
      <w:r>
        <w:t>El tiempo necesario para gestionar la solicitud y conforme a los plazos de conservación documental aplicables a la actividad del grupo.</w:t>
      </w:r>
    </w:p>
    <w:p>
      <w:pPr>
        <w:spacing w:after="80"/>
      </w:pPr>
      <w:r>
        <w:rPr>
          <w:b/>
          <w:color w:val="073A6B"/>
        </w:rPr>
        <w:t xml:space="preserve">Derechos: </w:t>
      </w:r>
      <w:r>
        <w:t>Acceso, rectificación, supresión, oposición, limitación y portabilidad ante el responsable, y reclamación ante la autoridad de control. DPD del Servicio Canario de la Salud.</w:t>
      </w:r>
    </w:p>
    <w:p>
      <w:pPr>
        <w:pStyle w:val="Heading1"/>
      </w:pPr>
      <w:r>
        <w:t>7. Recomendaciones y limitaciones</w:t>
      </w:r>
    </w:p>
    <w:tbl>
      <w:tblPr>
        <w:tblStyle w:val="TableGrid"/>
        <w:tblW w:type="auto" w:w="0"/>
        <w:jc w:val="center"/>
        <w:tblLook w:firstColumn="1" w:firstRow="1" w:lastColumn="0" w:lastRow="0" w:noHBand="0" w:noVBand="1" w:val="04A0"/>
      </w:tblPr>
      <w:tblGrid>
        <w:gridCol w:w="8640"/>
      </w:tblGrid>
      <w:tr>
        <w:tc>
          <w:tcPr>
            <w:tcW w:type="dxa" w:w="8640"/>
            <w:shd w:val="clear" w:color="auto" w:fill="FFF4D6"/>
          </w:tcPr>
          <w:p>
            <w:r/>
            <w:r>
              <w:rPr>
                <w:b w:val="0"/>
                <w:sz w:val="20"/>
              </w:rPr>
              <w:t>⚠  Un Gmail o cuenta de Google personal como buzón institucional que almacena datos identificativos de profesionales tiene implicaciones de RGPD y del Esquema Nacional de Seguridad. La solución se ofrece como punto de partida gratuito para la versión inicial (ap. 8.2.f); el destino recomendado es un buzón corporativo del SCS y, si es viable, alojamiento institucional.</w:t>
            </w:r>
          </w:p>
        </w:tc>
      </w:tr>
    </w:tbl>
    <w:p/>
    <w:p>
      <w:pPr>
        <w:pStyle w:val="ListBullet"/>
        <w:spacing w:after="60"/>
      </w:pPr>
      <w:r>
        <w:t>Sustituir el logotipo de marcador de posición por el oficial del HUNSC (identidad institucional, ap. 8.2.f).</w:t>
      </w:r>
    </w:p>
    <w:p>
      <w:pPr>
        <w:pStyle w:val="ListBullet"/>
        <w:spacing w:after="60"/>
      </w:pPr>
      <w:r>
        <w:t>Validar la cláusula RGPD con el DPD del SCS antes de publicar.</w:t>
      </w:r>
    </w:p>
    <w:p>
      <w:pPr>
        <w:pStyle w:val="ListBullet"/>
        <w:spacing w:after="60"/>
      </w:pPr>
      <w:r>
        <w:t>No subir a repositorios públicos la URL del backend ni datos de solicitudes.</w:t>
      </w:r>
    </w:p>
    <w:p>
      <w:pPr>
        <w:pStyle w:val="ListBullet"/>
        <w:spacing w:after="60"/>
      </w:pPr>
      <w:r>
        <w:t>Si el SCS dispone de Microsoft 365, valorar Microsoft Forms como destino final por su mejor encaje legal y el soporte de adjuntos.</w:t>
      </w:r>
    </w:p>
    <w:p>
      <w:pPr>
        <w:pStyle w:val="Heading1"/>
      </w:pPr>
      <w:r>
        <w:t>8. Trazabilidad con el reglamento</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0A4D8C"/>
          </w:tcPr>
          <w:p>
            <w:pPr>
              <w:spacing w:after="40" w:before="40"/>
            </w:pPr>
            <w:r/>
            <w:r>
              <w:rPr>
                <w:b/>
                <w:color w:val="FFFFFF"/>
                <w:sz w:val="20"/>
              </w:rPr>
              <w:t>Apartado del reglamento</w:t>
            </w:r>
          </w:p>
        </w:tc>
        <w:tc>
          <w:tcPr>
            <w:tcW w:type="dxa" w:w="6236"/>
            <w:shd w:val="clear" w:color="auto" w:fill="0A4D8C"/>
          </w:tcPr>
          <w:p>
            <w:pPr>
              <w:spacing w:after="40" w:before="40"/>
            </w:pPr>
            <w:r/>
            <w:r>
              <w:rPr>
                <w:b/>
                <w:color w:val="FFFFFF"/>
                <w:sz w:val="20"/>
              </w:rPr>
              <w:t>Cómo lo cubre el formulario</w:t>
            </w:r>
          </w:p>
        </w:tc>
      </w:tr>
      <w:tr>
        <w:tc>
          <w:tcPr>
            <w:tcW w:type="dxa" w:w="2835"/>
          </w:tcPr>
          <w:p>
            <w:pPr>
              <w:spacing w:after="40" w:before="40"/>
            </w:pPr>
            <w:r/>
            <w:r>
              <w:rPr>
                <w:b w:val="0"/>
                <w:sz w:val="20"/>
              </w:rPr>
              <w:t>5.4.a — Solicitud previa</w:t>
            </w:r>
          </w:p>
        </w:tc>
        <w:tc>
          <w:tcPr>
            <w:tcW w:type="dxa" w:w="6236"/>
          </w:tcPr>
          <w:p>
            <w:pPr>
              <w:spacing w:after="40" w:before="40"/>
            </w:pPr>
            <w:r/>
            <w:r>
              <w:rPr>
                <w:b w:val="0"/>
                <w:sz w:val="20"/>
              </w:rPr>
              <w:t>Campos obligatorios: título, problema, fase y aspecto de retorno.</w:t>
            </w:r>
          </w:p>
        </w:tc>
      </w:tr>
      <w:tr>
        <w:tc>
          <w:tcPr>
            <w:tcW w:type="dxa" w:w="2835"/>
            <w:shd w:val="clear" w:color="auto" w:fill="E8F1F9"/>
          </w:tcPr>
          <w:p>
            <w:pPr>
              <w:spacing w:after="40" w:before="40"/>
            </w:pPr>
            <w:r/>
            <w:r>
              <w:rPr>
                <w:b w:val="0"/>
                <w:sz w:val="20"/>
              </w:rPr>
              <w:t>5.4.b — Valoración de encaje</w:t>
            </w:r>
          </w:p>
        </w:tc>
        <w:tc>
          <w:tcPr>
            <w:tcW w:type="dxa" w:w="6236"/>
            <w:shd w:val="clear" w:color="auto" w:fill="E8F1F9"/>
          </w:tcPr>
          <w:p>
            <w:pPr>
              <w:spacing w:after="40" w:before="40"/>
            </w:pPr>
            <w:r/>
            <w:r>
              <w:rPr>
                <w:b w:val="0"/>
                <w:sz w:val="20"/>
              </w:rPr>
              <w:t>Recoge categoría, servicio, disponibilidad y datos del proyecto.</w:t>
            </w:r>
          </w:p>
        </w:tc>
      </w:tr>
      <w:tr>
        <w:tc>
          <w:tcPr>
            <w:tcW w:type="dxa" w:w="2835"/>
          </w:tcPr>
          <w:p>
            <w:pPr>
              <w:spacing w:after="40" w:before="40"/>
            </w:pPr>
            <w:r/>
            <w:r>
              <w:rPr>
                <w:b w:val="0"/>
                <w:sz w:val="20"/>
              </w:rPr>
              <w:t>2.3.c / 4.3.d — Asesoramiento</w:t>
            </w:r>
          </w:p>
        </w:tc>
        <w:tc>
          <w:tcPr>
            <w:tcW w:type="dxa" w:w="6236"/>
          </w:tcPr>
          <w:p>
            <w:pPr>
              <w:spacing w:after="40" w:before="40"/>
            </w:pPr>
            <w:r/>
            <w:r>
              <w:rPr>
                <w:b w:val="0"/>
                <w:sz w:val="20"/>
              </w:rPr>
              <w:t>Vía de consulta con asunto, descripción, tipo y 'en nombre de'.</w:t>
            </w:r>
          </w:p>
        </w:tc>
      </w:tr>
      <w:tr>
        <w:tc>
          <w:tcPr>
            <w:tcW w:type="dxa" w:w="2835"/>
            <w:shd w:val="clear" w:color="auto" w:fill="E8F1F9"/>
          </w:tcPr>
          <w:p>
            <w:pPr>
              <w:spacing w:after="40" w:before="40"/>
            </w:pPr>
            <w:r/>
            <w:r>
              <w:rPr>
                <w:b w:val="0"/>
                <w:sz w:val="20"/>
              </w:rPr>
              <w:t>5.5 — Actas y trazabilidad</w:t>
            </w:r>
          </w:p>
        </w:tc>
        <w:tc>
          <w:tcPr>
            <w:tcW w:type="dxa" w:w="6236"/>
            <w:shd w:val="clear" w:color="auto" w:fill="E8F1F9"/>
          </w:tcPr>
          <w:p>
            <w:pPr>
              <w:spacing w:after="40" w:before="40"/>
            </w:pPr>
            <w:r/>
            <w:r>
              <w:rPr>
                <w:b w:val="0"/>
                <w:sz w:val="20"/>
              </w:rPr>
              <w:t>Registro de cada solicitud en la Hoja de cálculo.</w:t>
            </w:r>
          </w:p>
        </w:tc>
      </w:tr>
      <w:tr>
        <w:tc>
          <w:tcPr>
            <w:tcW w:type="dxa" w:w="2835"/>
          </w:tcPr>
          <w:p>
            <w:pPr>
              <w:spacing w:after="40" w:before="40"/>
            </w:pPr>
            <w:r/>
            <w:r>
              <w:rPr>
                <w:b w:val="0"/>
                <w:sz w:val="20"/>
              </w:rPr>
              <w:t>7.3.e — Recepción (Secretaría)</w:t>
            </w:r>
          </w:p>
        </w:tc>
        <w:tc>
          <w:tcPr>
            <w:tcW w:type="dxa" w:w="6236"/>
          </w:tcPr>
          <w:p>
            <w:pPr>
              <w:spacing w:after="40" w:before="40"/>
            </w:pPr>
            <w:r/>
            <w:r>
              <w:rPr>
                <w:b w:val="0"/>
                <w:sz w:val="20"/>
              </w:rPr>
              <w:t>Correo automático a la secretaría/coordinador.</w:t>
            </w:r>
          </w:p>
        </w:tc>
      </w:tr>
      <w:tr>
        <w:tc>
          <w:tcPr>
            <w:tcW w:type="dxa" w:w="2835"/>
            <w:shd w:val="clear" w:color="auto" w:fill="E8F1F9"/>
          </w:tcPr>
          <w:p>
            <w:pPr>
              <w:spacing w:after="40" w:before="40"/>
            </w:pPr>
            <w:r/>
            <w:r>
              <w:rPr>
                <w:b w:val="0"/>
                <w:sz w:val="20"/>
              </w:rPr>
              <w:t>8.2.f / 8.3.e — Canal público</w:t>
            </w:r>
          </w:p>
        </w:tc>
        <w:tc>
          <w:tcPr>
            <w:tcW w:type="dxa" w:w="6236"/>
            <w:shd w:val="clear" w:color="auto" w:fill="E8F1F9"/>
          </w:tcPr>
          <w:p>
            <w:pPr>
              <w:spacing w:after="40" w:before="40"/>
            </w:pPr>
            <w:r/>
            <w:r>
              <w:rPr>
                <w:b w:val="0"/>
                <w:sz w:val="20"/>
              </w:rPr>
              <w:t>Página ligera, gratuita y publicable en el primer semestre.</w:t>
            </w:r>
          </w:p>
        </w:tc>
      </w:tr>
    </w:tbl>
    <w:p/>
    <w:p>
      <w:pPr>
        <w:jc w:val="center"/>
      </w:pPr>
      <w:r>
        <w:rPr>
          <w:color w:val="5A6573"/>
          <w:sz w:val="16"/>
        </w:rPr>
        <w:t>Grupo de Trabajo de Innovación Digital · HUNSC · Servicio Canario de la Salud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73A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7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73A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