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لجين سمير</w:t>
      </w:r>
    </w:p>
    <w:p>
      <w:pPr>
        <w:jc w:val="right"/>
      </w:pPr>
      <w:r>
        <w:rPr>
          <w:rFonts w:ascii="Simplified Arabic" w:hAnsi="Simplified Arabic"/>
          <w:sz w:val="20"/>
        </w:rPr>
        <w:t>المجموعة: G2 | التاريخ: 2026-03-08 13:00 | المستوى: 37%</w:t>
      </w:r>
    </w:p>
    <w:p/>
    <w:p>
      <w:pPr>
        <w:jc w:val="right"/>
      </w:pPr>
      <w:r>
        <w:rPr>
          <w:rFonts w:ascii="Simplified Arabic" w:hAnsi="Simplified Arabic"/>
          <w:sz w:val="28"/>
        </w:rPr>
        <w:t>القضية الأولى: الموافقة المستنيرة</w:t>
      </w:r>
    </w:p>
    <w:p>
      <w:pPr>
        <w:jc w:val="right"/>
      </w:pPr>
      <w:r>
        <w:rPr>
          <w:rFonts w:ascii="Simplified Arabic" w:hAnsi="Simplified Arabic"/>
          <w:sz w:val="28"/>
        </w:rPr>
        <w:t>المشكلة هي موافقة الشخص البالغ على تلقي علاج طبي معقد، لكن بسبب حالة صعبة قد يكون قراراته غير ملائمة. هنا الأطراف الرئيسية هي الطبيب والمريض وأقرباء المريض. الطبيب يحتاج لإعطاء المريض كل المعلومات اللازمة عن العلاج، بينما المريض قد يكون في حالة تعب أو خوف يمنعه من فهم هذه المعلومات جيدًا. أقرباء المريض يشعرون بالقلق ويحاولون مساعدة المريض في اتخاذ القرار الصحيح.</w:t>
      </w:r>
    </w:p>
    <w:p>
      <w:pPr>
        <w:jc w:val="right"/>
      </w:pPr>
      <w:r>
        <w:rPr>
          <w:rFonts w:ascii="Simplified Arabic" w:hAnsi="Simplified Arabic"/>
          <w:sz w:val="28"/>
        </w:rPr>
        <w:t>من ناحية الأخلاق، هناك معايير مهمة مثل حق المريض في التحكم في جسده وحقه في معرفة المعلومات الطبية الكاملة. كما أن هناك التزام الطبيب بمساعدة المريض في اتخاذ القرار المثالي.</w:t>
      </w:r>
    </w:p>
    <w:p>
      <w:pPr>
        <w:jc w:val="right"/>
      </w:pPr>
      <w:r>
        <w:rPr>
          <w:rFonts w:ascii="Simplified Arabic" w:hAnsi="Simplified Arabic"/>
          <w:sz w:val="28"/>
        </w:rPr>
        <w:t>من الجوانب الأخرى، من المهم النظر في الآثار النفسية والجسدية للعلاج على المريض، مثل التأثير على نوعية الحياة في المستقبل.</w:t>
      </w:r>
    </w:p>
    <w:p>
      <w:pPr>
        <w:jc w:val="right"/>
      </w:pPr>
      <w:r>
        <w:rPr>
          <w:rFonts w:ascii="Simplified Arabic" w:hAnsi="Simplified Arabic"/>
          <w:sz w:val="28"/>
        </w:rPr>
        <w:t>هناك حلول محتملة، مثل البحث عن طبيب ثان للحصول على رأي ثان، أو استخدام تقنيات لتخفيف الخوف والتوتر مثل العلاج السلوكي المعرفي. الحل الأنسب هو التشاور المستمر بين الطبيب والمريض وأقربائه للوصول إلى قرار مشترك يأخذ في الحسبان كل هذه العوامل.</w:t>
      </w:r>
    </w:p>
    <w:p>
      <w:pPr>
        <w:jc w:val="right"/>
      </w:pPr>
      <w:r>
        <w:rPr>
          <w:rFonts w:ascii="Simplified Arabic" w:hAnsi="Simplified Arabic"/>
          <w:sz w:val="28"/>
        </w:rPr>
        <w:t>رأيي الشخصي هو أن الموافقة المستنيرة تتطلب تفهمًا عميقًا للحالة الصحية للمريض والعلاج المقترح، كما تحتاج أيضًا إلى توازن بين حقوق المريض والالتزامات الطبية.</w:t>
      </w:r>
    </w:p>
    <w:p>
      <w:pPr>
        <w:jc w:val="right"/>
      </w:pPr>
      <w:r>
        <w:rPr>
          <w:rFonts w:ascii="Simplified Arabic" w:hAnsi="Simplified Arabic"/>
          <w:sz w:val="28"/>
        </w:rPr>
        <w:t>القضية الثانية: زراعة الأعضاء</w:t>
      </w:r>
    </w:p>
    <w:p>
      <w:pPr>
        <w:jc w:val="right"/>
      </w:pPr>
      <w:r>
        <w:rPr>
          <w:rFonts w:ascii="Simplified Arabic" w:hAnsi="Simplified Arabic"/>
          <w:sz w:val="28"/>
        </w:rPr>
        <w:t>المشكلة هي قلة الأعضاء المتاحة لزراعة مقارنة بالعدد الكبير من المرضى الذين يحتاجون إلى زراعة. الأطراف الرئيسية هنا هي المرضى، المتبرعين، والأطباء والأنظمة الطبية. في حين أن المرضى يحتاجون إلى الأعضاء لاستمرار حياتهم، فإن المتبرعين قد يخشون من التبرع لأسباب مختلفة مثل الخوف أو عدم الفهم.</w:t>
      </w:r>
    </w:p>
    <w:p>
      <w:pPr>
        <w:jc w:val="right"/>
      </w:pPr>
      <w:r>
        <w:rPr>
          <w:rFonts w:ascii="Simplified Arabic" w:hAnsi="Simplified Arabic"/>
          <w:sz w:val="28"/>
        </w:rPr>
        <w:t>من ناحية الأخلاق، هناك معايير مثل الحق في الحياة والحق في الاختيار الحر. كما أن هناك التزام الأطباء بتقديم الرعاية الطبية الأفضل للمريض.</w:t>
      </w:r>
    </w:p>
    <w:p>
      <w:pPr>
        <w:jc w:val="right"/>
      </w:pPr>
      <w:r>
        <w:rPr>
          <w:rFonts w:ascii="Simplified Arabic" w:hAnsi="Simplified Arabic"/>
          <w:sz w:val="28"/>
        </w:rPr>
        <w:t>من الجوانب الأخرى، هناك الحاجة لضمان أن عملية التبرع تتم بطريقة آمنة وفعالة. بالإضافة إلى ذلك، من المهم النظر في الآثار الاجتماعية والثقافية للزراعة.</w:t>
      </w:r>
    </w:p>
    <w:p>
      <w:pPr>
        <w:jc w:val="right"/>
      </w:pPr>
      <w:r>
        <w:rPr>
          <w:rFonts w:ascii="Simplified Arabic" w:hAnsi="Simplified Arabic"/>
          <w:sz w:val="28"/>
        </w:rPr>
        <w:t>الحلول المحتملة تتضمن برامج توعية حول فوائد التبرع وتشجيع الأطباء على العمل مع الأسر لتوضيح أهمية التبرع. الحل الأنسب هو إنشاء نظام شامل يتعامل مع هذه القضية بطرق متعددة.</w:t>
      </w:r>
    </w:p>
    <w:p>
      <w:pPr>
        <w:jc w:val="right"/>
      </w:pPr>
      <w:r>
        <w:rPr>
          <w:rFonts w:ascii="Simplified Arabic" w:hAnsi="Simplified Arabic"/>
          <w:sz w:val="28"/>
        </w:rPr>
        <w:t>رأيي الشخصي هو أن حل هذه القضية يتطلب جهودًا متناسقة من جميع الأطراف لضمان توفير الأعضاء للمرضى بطرق أخلاقية وفعالة.</w:t>
      </w:r>
    </w:p>
    <w:p>
      <w:pPr>
        <w:jc w:val="right"/>
      </w:pPr>
      <w:r>
        <w:rPr>
          <w:rFonts w:ascii="Simplified Arabic" w:hAnsi="Simplified Arabic"/>
          <w:sz w:val="28"/>
        </w:rPr>
        <w:t>القضية الثالثة: موت الدماغ</w:t>
      </w:r>
    </w:p>
    <w:p>
      <w:pPr>
        <w:jc w:val="right"/>
      </w:pPr>
      <w:r>
        <w:rPr>
          <w:rFonts w:ascii="Simplified Arabic" w:hAnsi="Simplified Arabic"/>
          <w:sz w:val="28"/>
        </w:rPr>
        <w:t>المشكلة هي تحديد الموت الدماغي بشكل صحيح والتعامل مع العواقب الأخلاقية والاجتماعية الناجمة عن هذا التحديد. الأطراف الرئيسية هي الأطباء، الأسرة، والمرضى الذين لديهم موافقة مسبقة.</w:t>
      </w:r>
    </w:p>
    <w:p>
      <w:pPr>
        <w:jc w:val="right"/>
      </w:pPr>
      <w:r>
        <w:rPr>
          <w:rFonts w:ascii="Simplified Arabic" w:hAnsi="Simplified Arabic"/>
          <w:sz w:val="28"/>
        </w:rPr>
        <w:t>من ناحية الأخلاق، هناك قضايا متعلقة بالحق في الموت بكرامة والحق في الحياة. الأطباء لديهم التزام بتحديد الموت بشكل دقيق واحترام حقوق المرضى وأسرهم.</w:t>
      </w:r>
    </w:p>
    <w:p>
      <w:pPr>
        <w:jc w:val="right"/>
      </w:pPr>
      <w:r>
        <w:rPr>
          <w:rFonts w:ascii="Simplified Arabic" w:hAnsi="Simplified Arabic"/>
          <w:sz w:val="28"/>
        </w:rPr>
        <w:t>من الجوانب الأخرى، هناك الحاجة لضمان أن قرارات الموت الدماغي تؤخذ بطريقة موضوعية وعادلة.</w:t>
      </w:r>
    </w:p>
    <w:p>
      <w:pPr>
        <w:jc w:val="right"/>
      </w:pPr>
      <w:r>
        <w:rPr>
          <w:rFonts w:ascii="Simplified Arabic" w:hAnsi="Simplified Arabic"/>
          <w:sz w:val="28"/>
        </w:rPr>
        <w:t>الحلول المحتملة تتضمن تقديم التدريب المستمر للأطباء على كيفية التحقق من الموت الدماغي والعمل مع الأسر لتوضيح هذه الفكرة. الحل الأنسب هو وضع قوانين واضحة وبرامج تدريبية لضمان فهم جميع الأطراف للوضع.</w:t>
      </w:r>
    </w:p>
    <w:p>
      <w:pPr>
        <w:jc w:val="right"/>
      </w:pPr>
      <w:r>
        <w:rPr>
          <w:rFonts w:ascii="Simplified Arabic" w:hAnsi="Simplified Arabic"/>
          <w:sz w:val="28"/>
        </w:rPr>
        <w:t>رأيي الشخصي هو أن هذه القضية تتطلب فهمًا عميقًا للقضايا الأخلاقية والعلمية وتقديرًا للعواقب الاجتماعية والثقافية.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