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هبة الله ماجد</w:t>
      </w:r>
    </w:p>
    <w:p>
      <w:pPr>
        <w:jc w:val="right"/>
      </w:pPr>
      <w:r>
        <w:rPr>
          <w:rFonts w:ascii="Simplified Arabic" w:hAnsi="Simplified Arabic"/>
          <w:sz w:val="20"/>
        </w:rPr>
        <w:t>المجموعة: G2 | التاريخ: 2026-03-02 05:11 | المستوى: 22%</w:t>
      </w:r>
    </w:p>
    <w:p/>
    <w:p>
      <w:pPr>
        <w:jc w:val="right"/>
      </w:pPr>
      <w:r>
        <w:rPr>
          <w:rFonts w:ascii="Simplified Arabic" w:hAnsi="Simplified Arabic"/>
          <w:sz w:val="28"/>
        </w:rPr>
        <w:t>المثال الأول:</w:t>
      </w:r>
    </w:p>
    <w:p>
      <w:pPr>
        <w:jc w:val="right"/>
      </w:pPr>
      <w:r>
        <w:rPr>
          <w:rFonts w:ascii="Simplified Arabic" w:hAnsi="Simplified Arabic"/>
          <w:sz w:val="28"/>
        </w:rPr>
        <w:t>السعودية تسجل رقماً قياسياً في عمليات زراعة الأعضاء. أعلن المركز السعودي لزراعة الأعضاء عن إجراء أكثر من 600 عملية زراعة أعضاء خلال عام واحد، محققاً رقماً قياسياً جديداً على مستوى الشرق الأوسط. هذه النتائج تعكس التطور الكبير في مجال زراعة الأعضاء ونجاح الجهود الرامية لزيادة التبرع بالأعضاء. ولكن مع هذا التطور، تظهر بعض القضايا الأخلاقية، مثل ضمان سلامة المانحين والمستفيدين وتوفير فرص عادلة للجميع.</w:t>
      </w:r>
    </w:p>
    <w:p>
      <w:pPr>
        <w:jc w:val="right"/>
      </w:pPr>
      <w:r>
        <w:rPr>
          <w:rFonts w:ascii="Simplified Arabic" w:hAnsi="Simplified Arabic"/>
          <w:sz w:val="28"/>
        </w:rPr>
        <w:t>المصدر الموثوق: https://www.sanad.gov.sa/ar/News/Press-Releases/Pages/2024-05-10-PressRelease.aspx</w:t>
      </w:r>
    </w:p>
    <w:p>
      <w:pPr>
        <w:jc w:val="right"/>
      </w:pPr>
      <w:r>
        <w:rPr>
          <w:rFonts w:ascii="Simplified Arabic" w:hAnsi="Simplified Arabic"/>
          <w:sz w:val="28"/>
        </w:rPr>
        <w:t>القضية المرتبطة: زراعة الأعضاء</w:t>
      </w:r>
    </w:p>
    <w:p>
      <w:pPr>
        <w:jc w:val="right"/>
      </w:pPr>
      <w:r>
        <w:rPr>
          <w:rFonts w:ascii="Simplified Arabic" w:hAnsi="Simplified Arabic"/>
          <w:sz w:val="28"/>
        </w:rPr>
        <w:t>التاريخ: 2024-05-10</w:t>
      </w:r>
    </w:p>
    <w:p>
      <w:pPr>
        <w:jc w:val="right"/>
      </w:pPr>
      <w:r>
        <w:rPr>
          <w:rFonts w:ascii="Simplified Arabic" w:hAnsi="Simplified Arabic"/>
          <w:sz w:val="28"/>
        </w:rPr>
        <w:t>المثال الثاني:</w:t>
      </w:r>
    </w:p>
    <w:p>
      <w:pPr>
        <w:jc w:val="right"/>
      </w:pPr>
      <w:r>
        <w:rPr>
          <w:rFonts w:ascii="Simplified Arabic" w:hAnsi="Simplified Arabic"/>
          <w:sz w:val="28"/>
        </w:rPr>
        <w:t>البرتغال تصوت لصالح تقنين الموت الرحيم. صوّت البرلمان البرتغالي لصالح قانون يسمح بالموت الرحيم للمرضى الذين يعانون من أمراض مستعصية، رغم معارضة الكنيسة الكاثوليكية. هذا القرار يعكس النقاش الدائر حول الحق في الموت الرحيم والحق في اختيار الموت في ظروف معينة. لكنه يثير أيضاً قضايا أخلاقية، مثل احترام الحياة وعدم ترويج للموت الرحيم كخيار سهل.</w:t>
      </w:r>
    </w:p>
    <w:p>
      <w:pPr>
        <w:jc w:val="right"/>
      </w:pPr>
      <w:r>
        <w:rPr>
          <w:rFonts w:ascii="Simplified Arabic" w:hAnsi="Simplified Arabic"/>
          <w:sz w:val="28"/>
        </w:rPr>
        <w:t>المصدر الموثوق: https://www.sciencedaily.com/releases/2023/05/230512103657.htm</w:t>
      </w:r>
    </w:p>
    <w:p>
      <w:pPr>
        <w:jc w:val="right"/>
      </w:pPr>
      <w:r>
        <w:rPr>
          <w:rFonts w:ascii="Simplified Arabic" w:hAnsi="Simplified Arabic"/>
          <w:sz w:val="28"/>
        </w:rPr>
        <w:t>القضية المرتبطة: الموت الرحيم</w:t>
      </w:r>
    </w:p>
    <w:p>
      <w:pPr>
        <w:jc w:val="right"/>
      </w:pPr>
      <w:r>
        <w:rPr>
          <w:rFonts w:ascii="Simplified Arabic" w:hAnsi="Simplified Arabic"/>
          <w:sz w:val="28"/>
        </w:rPr>
        <w:t>التاريخ: 2023-05-12</w:t>
      </w:r>
    </w:p>
    <w:p>
      <w:pPr>
        <w:jc w:val="right"/>
      </w:pPr>
      <w:r>
        <w:rPr>
          <w:rFonts w:ascii="Simplified Arabic" w:hAnsi="Simplified Arabic"/>
          <w:sz w:val="28"/>
        </w:rPr>
        <w:t>المثال الثالث:</w:t>
      </w:r>
    </w:p>
    <w:p>
      <w:pPr>
        <w:jc w:val="right"/>
      </w:pPr>
      <w:r>
        <w:rPr>
          <w:rFonts w:ascii="Simplified Arabic" w:hAnsi="Simplified Arabic"/>
          <w:sz w:val="28"/>
        </w:rPr>
        <w:t>نقاش في السعودية حول حالات موت الدماغ والتبرع بالأعضاء. أطلق المركز السعودي لزراعة الأعضاء حملة توعوية لشرح مفهوم موت الدماغ للعائلات، بعد رفض كثير منهم التبرع بأعضاء ذويهم. هذا النقاش يسلط الضوء على أهمية فهم العائلات للمعايير الطبية والأخلاقية المتعلقة بموت الدماغ والموافقة على التبرع بالأعضاء.</w:t>
      </w:r>
    </w:p>
    <w:p>
      <w:pPr>
        <w:jc w:val="right"/>
      </w:pPr>
      <w:r>
        <w:rPr>
          <w:rFonts w:ascii="Simplified Arabic" w:hAnsi="Simplified Arabic"/>
          <w:sz w:val="28"/>
        </w:rPr>
        <w:t>المصدر الموثوق: https://www.sanad.gov.sa/ar/News/Press-Releases/Pages/2024-01-20-PressRelease.aspx</w:t>
      </w:r>
    </w:p>
    <w:p>
      <w:pPr>
        <w:jc w:val="right"/>
      </w:pPr>
      <w:r>
        <w:rPr>
          <w:rFonts w:ascii="Simplified Arabic" w:hAnsi="Simplified Arabic"/>
          <w:sz w:val="28"/>
        </w:rPr>
        <w:t>القضية المرتبطة: موت الدماغ</w:t>
      </w:r>
    </w:p>
    <w:p>
      <w:pPr>
        <w:jc w:val="right"/>
      </w:pPr>
      <w:r>
        <w:rPr>
          <w:rFonts w:ascii="Simplified Arabic" w:hAnsi="Simplified Arabic"/>
          <w:sz w:val="28"/>
        </w:rPr>
        <w:t>التاريخ: 2024-01-20</w:t>
      </w:r>
    </w:p>
    <w:p>
      <w:pPr>
        <w:jc w:val="right"/>
      </w:pPr>
      <w:r>
        <w:rPr>
          <w:rFonts w:ascii="Simplified Arabic" w:hAnsi="Simplified Arabic"/>
          <w:sz w:val="28"/>
        </w:rPr>
        <w:t>المثال الرابع:</w:t>
      </w:r>
    </w:p>
    <w:p>
      <w:pPr>
        <w:jc w:val="right"/>
      </w:pPr>
      <w:r>
        <w:rPr>
          <w:rFonts w:ascii="Simplified Arabic" w:hAnsi="Simplified Arabic"/>
          <w:sz w:val="28"/>
        </w:rPr>
        <w:t>الصين تشدد قوانين التجارب الجينية بعد فضيحة الأطفال المعدلين. أصدرت الصين قوانين صارمة لتنظيم الأبحاث الجينية بعد قضية العالم هي جيانكوي الذي عدّل جينات أطفال بشريين دون موافقة أخلاقية. هذا القرار يهدف إلى منع أي تجارب جينية غير أخلاقية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