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148C7" w14:textId="77777777" w:rsidR="00F918E8" w:rsidRPr="0008291E" w:rsidRDefault="00F918E8" w:rsidP="005D211B">
      <w:pPr>
        <w:pStyle w:val="Heading2"/>
        <w:bidi/>
        <w:rPr>
          <w:rFonts w:asciiTheme="majorBidi" w:hAnsiTheme="majorBidi"/>
        </w:rPr>
      </w:pPr>
      <w:r w:rsidRPr="0008291E">
        <w:rPr>
          <w:rFonts w:asciiTheme="majorBidi" w:hAnsiTheme="majorBidi"/>
          <w:rtl/>
        </w:rPr>
        <w:t>أولاً: مفهوم بيئات التعلم الإلكترونية وأنواعها</w:t>
      </w:r>
    </w:p>
    <w:p w14:paraId="4E91E2F8" w14:textId="77777777" w:rsidR="00F918E8" w:rsidRPr="0008291E" w:rsidRDefault="00F918E8" w:rsidP="005D211B">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أسهمت أدوات الويب 2.0، بما تتضمنه من تفاعل اجتماعي وتعاون عبر الإنترنت ومحتوى ينشئه المستخدمون، في إحداث تطور كبير في عمليتي التعليم والتعلم خلال العقد الماضي، مما مهد الطريق لظهور وتطور ما يُعرف ببيئات التعلم الإلكترونية الحديثة. هذه البيئات أصبحت عنصراً فاعلاً في المنظومات التعليمية المعاصرة، وتتعدد تعريفاتها ومقارباتها.</w:t>
      </w:r>
    </w:p>
    <w:p w14:paraId="4DBD146B" w14:textId="77777777" w:rsidR="00F918E8" w:rsidRPr="0008291E" w:rsidRDefault="00F918E8" w:rsidP="005D211B">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تعددت تعريفات بيئة التعلم الإلكتروني، حيث يعرفها خميس (2018) بأنها بيئة تعتمد على </w:t>
      </w:r>
      <w:proofErr w:type="gramStart"/>
      <w:r w:rsidRPr="0008291E">
        <w:rPr>
          <w:rFonts w:asciiTheme="majorBidi" w:hAnsiTheme="majorBidi" w:cstheme="majorBidi"/>
          <w:sz w:val="28"/>
          <w:szCs w:val="28"/>
          <w:rtl/>
        </w:rPr>
        <w:t>الكمبيوتر</w:t>
      </w:r>
      <w:proofErr w:type="gramEnd"/>
      <w:r w:rsidRPr="0008291E">
        <w:rPr>
          <w:rFonts w:asciiTheme="majorBidi" w:hAnsiTheme="majorBidi" w:cstheme="majorBidi"/>
          <w:sz w:val="28"/>
          <w:szCs w:val="28"/>
          <w:rtl/>
        </w:rPr>
        <w:t xml:space="preserve"> أو الشبكات لتسهيل عملية التعلم، حيث يتفاعل المتعلم مع مصادر تعلم إلكترونية متنوعة. وتُعرف أيضاً بأنها مجموعة من الأدوات والوسائل التي تتيح للمعلم نقل المحتوى التعليمي عبر الإنترنت، وتسهم في تعزيز التفاعل والتعاون بين المتعلمين إلكترونياً (الغامدي </w:t>
      </w:r>
      <w:proofErr w:type="spellStart"/>
      <w:r w:rsidRPr="0008291E">
        <w:rPr>
          <w:rFonts w:asciiTheme="majorBidi" w:hAnsiTheme="majorBidi" w:cstheme="majorBidi"/>
          <w:sz w:val="28"/>
          <w:szCs w:val="28"/>
          <w:rtl/>
        </w:rPr>
        <w:t>وعافشي</w:t>
      </w:r>
      <w:proofErr w:type="spellEnd"/>
      <w:r w:rsidRPr="0008291E">
        <w:rPr>
          <w:rFonts w:asciiTheme="majorBidi" w:hAnsiTheme="majorBidi" w:cstheme="majorBidi"/>
          <w:sz w:val="28"/>
          <w:szCs w:val="28"/>
          <w:rtl/>
        </w:rPr>
        <w:t>, 2018, ص. 86). ويتوسع عبد الغفار (2018، ص. 21) في المفهوم ليقدم تعريفاً أكثر شمولية يبرز وظائف المنظومة المتكاملة، فيعرفها بأنها "منظومة تعلم افتراضية عبر الإنترنت تقوم بتوظيف مجموعة من الأدوات لدعم العملية التعليمية كالتقييم والاتصالات وتحميل المحتوى، وتسليم أعمال الطالب، وتقييم الأقران، وإدارة المجموعات الطلابية، وجمع وتنظيم درجات الطالب، والقيام بالاستبيانات وأدوات المتابعة بهدف تحقيق الأهداف التعليمية المطلوبة، والحصول على مصادر مختلفة للمعارف، وتنمية المهارات بطريقة أكثر فاعلية".</w:t>
      </w:r>
    </w:p>
    <w:p w14:paraId="69C51BEB" w14:textId="77777777" w:rsidR="00F918E8" w:rsidRPr="0008291E" w:rsidRDefault="00F918E8" w:rsidP="005D211B">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يُلاحظ من التعريفات السابقة تركيزها المتدرج؛ بدءاً من الاعتماد على التقنية (خميس, 2018)، مروراً بإبراز دور التفاعل (الغامدي </w:t>
      </w:r>
      <w:proofErr w:type="spellStart"/>
      <w:r w:rsidRPr="0008291E">
        <w:rPr>
          <w:rFonts w:asciiTheme="majorBidi" w:hAnsiTheme="majorBidi" w:cstheme="majorBidi"/>
          <w:sz w:val="28"/>
          <w:szCs w:val="28"/>
          <w:rtl/>
        </w:rPr>
        <w:t>وعافشي</w:t>
      </w:r>
      <w:proofErr w:type="spellEnd"/>
      <w:r w:rsidRPr="0008291E">
        <w:rPr>
          <w:rFonts w:asciiTheme="majorBidi" w:hAnsiTheme="majorBidi" w:cstheme="majorBidi"/>
          <w:sz w:val="28"/>
          <w:szCs w:val="28"/>
          <w:rtl/>
        </w:rPr>
        <w:t xml:space="preserve">, 2018)، وصولاً إلى النظرة المتكاملة للبيئة كنظام تعليمي شامل بوظائفه المتعددة (عبد الغفار, 2018). وعليه، تتبنى الدراسة الحالية فهماً لبيئة التعلم الإلكترونية بوصفها </w:t>
      </w:r>
      <w:r w:rsidRPr="0008291E">
        <w:rPr>
          <w:rFonts w:asciiTheme="majorBidi" w:hAnsiTheme="majorBidi" w:cstheme="majorBidi"/>
          <w:b/>
          <w:bCs/>
          <w:sz w:val="28"/>
          <w:szCs w:val="28"/>
          <w:rtl/>
        </w:rPr>
        <w:t>فضاءً تعليمياً رقمياً متكاملاً يوفر الأدوات والموارد اللازمة لدعم عمليات التعلم النشط والتشاركي، وتسهيل التفاعل المعرفي والاجتماعي بين المتعلمين، وإدارة المحتوى والأنشطة التعليمية بفاعلية لتحقيق أهداف محددة.</w:t>
      </w:r>
    </w:p>
    <w:p w14:paraId="6C0046BD" w14:textId="77777777" w:rsidR="00642F1D" w:rsidRDefault="00AD331F" w:rsidP="005D211B">
      <w:pPr>
        <w:bidi/>
        <w:ind w:left="720" w:firstLine="720"/>
        <w:jc w:val="both"/>
        <w:rPr>
          <w:rFonts w:asciiTheme="majorBidi" w:hAnsiTheme="majorBidi" w:cs="Times New Roman"/>
          <w:sz w:val="28"/>
          <w:szCs w:val="28"/>
          <w:rtl/>
        </w:rPr>
      </w:pPr>
      <w:r w:rsidRPr="00AD331F">
        <w:rPr>
          <w:rFonts w:asciiTheme="majorBidi" w:hAnsiTheme="majorBidi" w:cs="Times New Roman" w:hint="cs"/>
          <w:sz w:val="28"/>
          <w:szCs w:val="28"/>
          <w:rtl/>
        </w:rPr>
        <w:t>ويمكن</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تصنيف</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بيئات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التعلم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الإلكتروني</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وفق</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ما</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أشار</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إليه</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محمد</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خميس</w:t>
      </w:r>
      <w:r w:rsidRPr="00AD331F">
        <w:rPr>
          <w:rFonts w:asciiTheme="majorBidi" w:hAnsiTheme="majorBidi" w:cs="Times New Roman"/>
          <w:sz w:val="28"/>
          <w:szCs w:val="28"/>
          <w:rtl/>
        </w:rPr>
        <w:t xml:space="preserve"> (2015</w:t>
      </w:r>
      <w:r w:rsidRPr="00AD331F">
        <w:rPr>
          <w:rFonts w:asciiTheme="majorBidi" w:hAnsiTheme="majorBidi" w:cs="Times New Roman" w:hint="cs"/>
          <w:sz w:val="28"/>
          <w:szCs w:val="28"/>
          <w:rtl/>
        </w:rPr>
        <w:t>،</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ص</w:t>
      </w:r>
      <w:r w:rsidRPr="00AD331F">
        <w:rPr>
          <w:rFonts w:asciiTheme="majorBidi" w:hAnsiTheme="majorBidi" w:cs="Times New Roman"/>
          <w:sz w:val="28"/>
          <w:szCs w:val="28"/>
          <w:rtl/>
        </w:rPr>
        <w:t xml:space="preserve">. 79) </w:t>
      </w:r>
      <w:r w:rsidRPr="00AD331F">
        <w:rPr>
          <w:rFonts w:asciiTheme="majorBidi" w:hAnsiTheme="majorBidi" w:cs="Times New Roman" w:hint="cs"/>
          <w:sz w:val="28"/>
          <w:szCs w:val="28"/>
          <w:rtl/>
        </w:rPr>
        <w:t>إلى</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نظم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التعلم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الإلكتروني</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وتشمل</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نظم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إدارة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المحتوى،</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ونظم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إدارة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التعلم،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ونظم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إدارة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المحتوى</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والتعلم</w:t>
      </w:r>
      <w:r w:rsidRPr="00AD331F">
        <w:rPr>
          <w:rFonts w:asciiTheme="majorBidi" w:hAnsiTheme="majorBidi" w:cs="Times New Roman"/>
          <w:sz w:val="28"/>
          <w:szCs w:val="28"/>
          <w:rtl/>
        </w:rPr>
        <w:t>)</w:t>
      </w:r>
      <w:r w:rsidRPr="00AD331F">
        <w:rPr>
          <w:rFonts w:asciiTheme="majorBidi" w:hAnsiTheme="majorBidi" w:cs="Times New Roman" w:hint="cs"/>
          <w:sz w:val="28"/>
          <w:szCs w:val="28"/>
          <w:rtl/>
        </w:rPr>
        <w:t>،</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وبيئات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التعلم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الافتراضية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وتشمل</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الفصول</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الافتراضية،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المكتبات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ومراكز</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مصادر</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التعلم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الإلكترونية،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ومستودعات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كائنات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التعلم</w:t>
      </w:r>
      <w:r w:rsidRPr="00AD331F">
        <w:rPr>
          <w:rFonts w:asciiTheme="majorBidi" w:hAnsiTheme="majorBidi" w:cs="Times New Roman"/>
          <w:sz w:val="28"/>
          <w:szCs w:val="28"/>
          <w:rtl/>
        </w:rPr>
        <w:t>)</w:t>
      </w:r>
      <w:r w:rsidRPr="00AD331F">
        <w:rPr>
          <w:rFonts w:asciiTheme="majorBidi" w:hAnsiTheme="majorBidi" w:cs="Times New Roman" w:hint="cs"/>
          <w:sz w:val="28"/>
          <w:szCs w:val="28"/>
          <w:rtl/>
        </w:rPr>
        <w:t>،</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وبيئات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الواقع</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الافتراضي</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الاستكشافية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وتشمل</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المعامل</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الافتراضية،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والمختبرات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العلمية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الافتراضية</w:t>
      </w:r>
      <w:r w:rsidRPr="00AD331F">
        <w:rPr>
          <w:rFonts w:asciiTheme="majorBidi" w:hAnsiTheme="majorBidi" w:cs="Times New Roman"/>
          <w:sz w:val="28"/>
          <w:szCs w:val="28"/>
          <w:rtl/>
        </w:rPr>
        <w:t>)</w:t>
      </w:r>
      <w:r w:rsidRPr="00AD331F">
        <w:rPr>
          <w:rFonts w:asciiTheme="majorBidi" w:hAnsiTheme="majorBidi" w:cs="Times New Roman" w:hint="cs"/>
          <w:sz w:val="28"/>
          <w:szCs w:val="28"/>
          <w:rtl/>
        </w:rPr>
        <w:t>،</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وبيئات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المجتمع</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المحلي</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الافتراضية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وتشمل</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المتاحف</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والمعارض</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العامة</w:t>
      </w:r>
      <w:r w:rsidRPr="00AD331F">
        <w:rPr>
          <w:rFonts w:asciiTheme="majorBidi" w:hAnsiTheme="majorBidi" w:cs="Times New Roman"/>
          <w:sz w:val="28"/>
          <w:szCs w:val="28"/>
          <w:rtl/>
        </w:rPr>
        <w:t>)</w:t>
      </w:r>
      <w:r w:rsidRPr="00AD331F">
        <w:rPr>
          <w:rFonts w:asciiTheme="majorBidi" w:hAnsiTheme="majorBidi" w:cs="Times New Roman" w:hint="cs"/>
          <w:sz w:val="28"/>
          <w:szCs w:val="28"/>
          <w:rtl/>
        </w:rPr>
        <w:t>،</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وبيئات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التعلم</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الشخصية،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وبيئات</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الحوسبة</w:t>
      </w:r>
      <w:r w:rsidRPr="00AD331F">
        <w:rPr>
          <w:rFonts w:asciiTheme="majorBidi" w:hAnsiTheme="majorBidi" w:cs="Times New Roman"/>
          <w:sz w:val="28"/>
          <w:szCs w:val="28"/>
          <w:rtl/>
        </w:rPr>
        <w:t xml:space="preserve"> </w:t>
      </w:r>
      <w:r w:rsidRPr="00AD331F">
        <w:rPr>
          <w:rFonts w:asciiTheme="majorBidi" w:hAnsiTheme="majorBidi" w:cs="Times New Roman" w:hint="cs"/>
          <w:sz w:val="28"/>
          <w:szCs w:val="28"/>
          <w:rtl/>
        </w:rPr>
        <w:t>السحابية</w:t>
      </w:r>
      <w:r w:rsidRPr="00AD331F">
        <w:rPr>
          <w:rFonts w:asciiTheme="majorBidi" w:hAnsiTheme="majorBidi" w:cs="Times New Roman"/>
          <w:sz w:val="28"/>
          <w:szCs w:val="28"/>
          <w:rtl/>
        </w:rPr>
        <w:t xml:space="preserve">. </w:t>
      </w:r>
    </w:p>
    <w:p w14:paraId="025A0FF6" w14:textId="68F3A1E5" w:rsidR="00F918E8" w:rsidRPr="0008291E" w:rsidRDefault="00F918E8" w:rsidP="00642F1D">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وفي إطار الدراسة الحالية، سيعتمد الباحث على إحدى منصات </w:t>
      </w:r>
      <w:r w:rsidR="0059290C">
        <w:rPr>
          <w:rFonts w:asciiTheme="majorBidi" w:hAnsiTheme="majorBidi" w:cstheme="majorBidi" w:hint="cs"/>
          <w:b/>
          <w:bCs/>
          <w:sz w:val="28"/>
          <w:szCs w:val="28"/>
          <w:rtl/>
        </w:rPr>
        <w:t>بيئات التعلم السحابية</w:t>
      </w:r>
      <w:r w:rsidRPr="0008291E">
        <w:rPr>
          <w:rFonts w:asciiTheme="majorBidi" w:hAnsiTheme="majorBidi" w:cstheme="majorBidi"/>
          <w:sz w:val="28"/>
          <w:szCs w:val="28"/>
          <w:rtl/>
        </w:rPr>
        <w:t xml:space="preserve">. ويرجع هذا الاختيار لما تتميز به هذه المنصات من مرونة عالية في الاستخدام وإمكانية الوصول من أي مكان وفي أي وقت، والأهم من ذلك، توفيرها لمجموعة غنية من الأدوات التي تدعم التفاعل والتعاون بين الطلاب. هذه الأدوات لا تقتصر على تقديم المحتوى بطرق تفاعلية، بل تتيح أيضاً تطبيق استراتيجيات تعلم نشطة ومبتكرة كنماذج حشد المصادر بأشكالها المختلفة (التشاركي والتنافسي)، وذلك من خلال </w:t>
      </w:r>
      <w:r w:rsidRPr="0008291E">
        <w:rPr>
          <w:rFonts w:asciiTheme="majorBidi" w:hAnsiTheme="majorBidi" w:cstheme="majorBidi"/>
          <w:sz w:val="28"/>
          <w:szCs w:val="28"/>
          <w:rtl/>
        </w:rPr>
        <w:lastRenderedPageBreak/>
        <w:t>تسهيل جمع المساهمات وإدارة النقاشات وتقييم الأقران. كما أن قدرة هذه المنصات على تتبع تقدم الطلاب وتقييم أدائهم تدعم إدارة هذه الأنشطة بفعالية وتحقيق الأهداف التعليمية المنشودة.</w:t>
      </w:r>
    </w:p>
    <w:p w14:paraId="5422FE26" w14:textId="77777777" w:rsidR="00F918E8" w:rsidRPr="0008291E" w:rsidRDefault="00F918E8" w:rsidP="005D211B">
      <w:pPr>
        <w:pStyle w:val="Heading2"/>
        <w:bidi/>
        <w:rPr>
          <w:rFonts w:asciiTheme="majorBidi" w:hAnsiTheme="majorBidi"/>
        </w:rPr>
      </w:pPr>
      <w:r w:rsidRPr="0008291E">
        <w:rPr>
          <w:rFonts w:asciiTheme="majorBidi" w:hAnsiTheme="majorBidi"/>
          <w:rtl/>
        </w:rPr>
        <w:t>خصائص بيئات التعلم الالكترونية:</w:t>
      </w:r>
    </w:p>
    <w:p w14:paraId="5D7CD0F8" w14:textId="77777777" w:rsidR="00F918E8" w:rsidRPr="0008291E" w:rsidRDefault="00F918E8" w:rsidP="005D211B">
      <w:pPr>
        <w:bidi/>
        <w:ind w:left="360"/>
        <w:jc w:val="both"/>
        <w:rPr>
          <w:rFonts w:asciiTheme="majorBidi" w:hAnsiTheme="majorBidi" w:cstheme="majorBidi"/>
          <w:sz w:val="28"/>
          <w:szCs w:val="28"/>
          <w:rtl/>
        </w:rPr>
      </w:pPr>
      <w:r w:rsidRPr="0008291E">
        <w:rPr>
          <w:rFonts w:asciiTheme="majorBidi" w:hAnsiTheme="majorBidi" w:cstheme="majorBidi"/>
          <w:sz w:val="28"/>
          <w:szCs w:val="28"/>
          <w:rtl/>
        </w:rPr>
        <w:t>تتميز بيئة التعلم الإلكترونية بمجموعة من الخصائص التي تُسهّل تحقيق الأهداف التعليمية، وتجعلها ملائمة لتطبيق استراتيجيات مبتكرة مثل حشد المصادر. ومن أهم هذه الخصائص (</w:t>
      </w:r>
      <w:r w:rsidRPr="0008291E">
        <w:rPr>
          <w:rFonts w:asciiTheme="majorBidi" w:hAnsiTheme="majorBidi" w:cstheme="majorBidi"/>
          <w:sz w:val="28"/>
          <w:szCs w:val="28"/>
        </w:rPr>
        <w:t>Adesina, 2013; Castro</w:t>
      </w:r>
      <w:r w:rsidRPr="0008291E">
        <w:rPr>
          <w:rFonts w:asciiTheme="majorBidi" w:hAnsiTheme="majorBidi" w:cstheme="majorBidi"/>
          <w:sz w:val="28"/>
          <w:szCs w:val="28"/>
          <w:rtl/>
        </w:rPr>
        <w:t xml:space="preserve"> &amp; </w:t>
      </w:r>
      <w:proofErr w:type="spellStart"/>
      <w:r w:rsidRPr="0008291E">
        <w:rPr>
          <w:rFonts w:asciiTheme="majorBidi" w:hAnsiTheme="majorBidi" w:cstheme="majorBidi"/>
          <w:sz w:val="28"/>
          <w:szCs w:val="28"/>
        </w:rPr>
        <w:t>Tumibay</w:t>
      </w:r>
      <w:proofErr w:type="spellEnd"/>
      <w:r w:rsidRPr="0008291E">
        <w:rPr>
          <w:rFonts w:asciiTheme="majorBidi" w:hAnsiTheme="majorBidi" w:cstheme="majorBidi"/>
          <w:sz w:val="28"/>
          <w:szCs w:val="28"/>
        </w:rPr>
        <w:t>, 2021</w:t>
      </w:r>
      <w:r w:rsidRPr="0008291E">
        <w:rPr>
          <w:rFonts w:asciiTheme="majorBidi" w:hAnsiTheme="majorBidi" w:cstheme="majorBidi"/>
          <w:sz w:val="28"/>
          <w:szCs w:val="28"/>
          <w:rtl/>
        </w:rPr>
        <w:t>; خميس, 2018):</w:t>
      </w:r>
    </w:p>
    <w:p w14:paraId="1869B0C8" w14:textId="2D508483" w:rsidR="00F918E8" w:rsidRPr="0008291E" w:rsidRDefault="00F918E8" w:rsidP="005D211B">
      <w:pPr>
        <w:bidi/>
        <w:ind w:left="360" w:firstLine="720"/>
        <w:jc w:val="both"/>
        <w:rPr>
          <w:rFonts w:asciiTheme="majorBidi" w:hAnsiTheme="majorBidi" w:cstheme="majorBidi"/>
          <w:sz w:val="28"/>
          <w:szCs w:val="28"/>
          <w:rtl/>
        </w:rPr>
      </w:pPr>
      <w:r w:rsidRPr="0008291E">
        <w:rPr>
          <w:rFonts w:asciiTheme="majorBidi" w:hAnsiTheme="majorBidi" w:cstheme="majorBidi"/>
          <w:b/>
          <w:bCs/>
          <w:sz w:val="28"/>
          <w:szCs w:val="28"/>
          <w:rtl/>
        </w:rPr>
        <w:t>المرونة وإمكانية الوصول:</w:t>
      </w:r>
      <w:r w:rsidRPr="0008291E">
        <w:rPr>
          <w:rFonts w:asciiTheme="majorBidi" w:hAnsiTheme="majorBidi" w:cstheme="majorBidi"/>
          <w:sz w:val="28"/>
          <w:szCs w:val="28"/>
          <w:rtl/>
        </w:rPr>
        <w:t xml:space="preserve"> توفر بيئات التعلم الإلكترونية وصولاً مرنًا للمحتوى والتعليمات، مما يسمح للطلاب بالتعلم في أي وقت ومن أي مكان. وتعتبر هذه المرونة ميزة رئيسية، خاصة لمؤسسات التعليم العالي التي تهدف إلى توسيع نطاق الوصول إلى التعليم الجيد. ويتيح هذا الوصول الواسع </w:t>
      </w:r>
      <w:proofErr w:type="spellStart"/>
      <w:r w:rsidRPr="0008291E">
        <w:rPr>
          <w:rFonts w:asciiTheme="majorBidi" w:hAnsiTheme="majorBidi" w:cstheme="majorBidi"/>
          <w:sz w:val="28"/>
          <w:szCs w:val="28"/>
          <w:rtl/>
        </w:rPr>
        <w:t>واللامتزامن</w:t>
      </w:r>
      <w:proofErr w:type="spellEnd"/>
      <w:r w:rsidRPr="0008291E">
        <w:rPr>
          <w:rFonts w:asciiTheme="majorBidi" w:hAnsiTheme="majorBidi" w:cstheme="majorBidi"/>
          <w:sz w:val="28"/>
          <w:szCs w:val="28"/>
          <w:rtl/>
        </w:rPr>
        <w:t xml:space="preserve"> لحشد المصادر استثمار الذكاء الجمعي، حيث يمكن لعدد كبير من الأفراد المساهمة في حل المشكلات واتخاذ القرارات التعليمية بغض النظر عن مواقعهم الجغرافية أو جداولهم الزمنية. وهذه المرونة تتيح للمتعلمين فرصة للمساهمة في تحسين جودة التعليم من خلال جمع مصادر متعددة ومتنوعة وإدماجها في برنامج التعليم الخاص بهم (</w:t>
      </w:r>
      <w:r w:rsidRPr="0008291E">
        <w:rPr>
          <w:rFonts w:asciiTheme="majorBidi" w:hAnsiTheme="majorBidi" w:cstheme="majorBidi"/>
          <w:b/>
          <w:bCs/>
          <w:sz w:val="28"/>
          <w:szCs w:val="28"/>
          <w:rtl/>
        </w:rPr>
        <w:t>نبيل السيد, 2021; شرين السيد ووفاء محمود, 2022</w:t>
      </w:r>
      <w:r w:rsidRPr="0008291E">
        <w:rPr>
          <w:rFonts w:asciiTheme="majorBidi" w:hAnsiTheme="majorBidi" w:cstheme="majorBidi"/>
          <w:sz w:val="28"/>
          <w:szCs w:val="28"/>
          <w:rtl/>
        </w:rPr>
        <w:t>).</w:t>
      </w:r>
    </w:p>
    <w:p w14:paraId="29AFB7B5" w14:textId="77777777" w:rsidR="00F918E8" w:rsidRPr="0008291E" w:rsidRDefault="00F918E8" w:rsidP="005D211B">
      <w:pPr>
        <w:bidi/>
        <w:ind w:left="360" w:firstLine="720"/>
        <w:jc w:val="both"/>
        <w:rPr>
          <w:rFonts w:asciiTheme="majorBidi" w:hAnsiTheme="majorBidi" w:cstheme="majorBidi"/>
          <w:sz w:val="28"/>
          <w:szCs w:val="28"/>
          <w:rtl/>
        </w:rPr>
      </w:pPr>
      <w:r w:rsidRPr="0008291E">
        <w:rPr>
          <w:rFonts w:asciiTheme="majorBidi" w:hAnsiTheme="majorBidi" w:cstheme="majorBidi"/>
          <w:b/>
          <w:bCs/>
          <w:sz w:val="28"/>
          <w:szCs w:val="28"/>
          <w:rtl/>
        </w:rPr>
        <w:t>استخدام التكنولوجيا:</w:t>
      </w:r>
      <w:r w:rsidRPr="0008291E">
        <w:rPr>
          <w:rFonts w:asciiTheme="majorBidi" w:hAnsiTheme="majorBidi" w:cstheme="majorBidi"/>
          <w:sz w:val="28"/>
          <w:szCs w:val="28"/>
          <w:rtl/>
        </w:rPr>
        <w:t xml:space="preserve"> تستخدم بيئات التعلم الإلكترونية تقنيات متنوعة لتقديم التعليم وتسهيل التفاعل، مثل التعلم الإلكتروني المتعدد الوسائط، والفيديو التفاعلي، وخدمات الويب. ويهدف دمج التكنولوجيا إلى تعزيز تجربة التعلم، حيث </w:t>
      </w:r>
      <w:proofErr w:type="gramStart"/>
      <w:r w:rsidRPr="0008291E">
        <w:rPr>
          <w:rFonts w:asciiTheme="majorBidi" w:hAnsiTheme="majorBidi" w:cstheme="majorBidi"/>
          <w:sz w:val="28"/>
          <w:szCs w:val="28"/>
          <w:rtl/>
        </w:rPr>
        <w:t>أن</w:t>
      </w:r>
      <w:proofErr w:type="gramEnd"/>
      <w:r w:rsidRPr="0008291E">
        <w:rPr>
          <w:rFonts w:asciiTheme="majorBidi" w:hAnsiTheme="majorBidi" w:cstheme="majorBidi"/>
          <w:sz w:val="28"/>
          <w:szCs w:val="28"/>
          <w:rtl/>
        </w:rPr>
        <w:t xml:space="preserve"> التكنولوجيا التي تقوم عليها بيئات التعلم الإلكترونية توفر الأدوات والمنصات والبنية التحتية الأساسية التي تسمح بتطبيق مبادئ حشد المصادر في التعليم بفعالية.</w:t>
      </w:r>
    </w:p>
    <w:p w14:paraId="5527666E" w14:textId="77777777" w:rsidR="00F918E8" w:rsidRPr="0008291E" w:rsidRDefault="00F918E8" w:rsidP="005D211B">
      <w:pPr>
        <w:bidi/>
        <w:ind w:left="360" w:firstLine="720"/>
        <w:jc w:val="both"/>
        <w:rPr>
          <w:rFonts w:asciiTheme="majorBidi" w:hAnsiTheme="majorBidi" w:cstheme="majorBidi"/>
          <w:sz w:val="28"/>
          <w:szCs w:val="28"/>
          <w:rtl/>
        </w:rPr>
      </w:pPr>
      <w:r w:rsidRPr="0008291E">
        <w:rPr>
          <w:rFonts w:asciiTheme="majorBidi" w:hAnsiTheme="majorBidi" w:cstheme="majorBidi"/>
          <w:b/>
          <w:bCs/>
          <w:sz w:val="28"/>
          <w:szCs w:val="28"/>
          <w:rtl/>
        </w:rPr>
        <w:t>تنوع الأنشطة التعليمية:</w:t>
      </w:r>
      <w:r w:rsidRPr="0008291E">
        <w:rPr>
          <w:rFonts w:asciiTheme="majorBidi" w:hAnsiTheme="majorBidi" w:cstheme="majorBidi"/>
          <w:sz w:val="28"/>
          <w:szCs w:val="28"/>
          <w:rtl/>
        </w:rPr>
        <w:t xml:space="preserve"> قد تشمل بيئات التعلم الإلكترونية مجموعة متنوعة من الأنشطة مثل المهام والاختبارات القصيرة والدردشات والدروس والمنتديات والاستطلاعات والويكي وورش العمل. وتدعم مرونة البيئات الإلكترونية مناهج تربوية متنوعة وتسمح بدمج مهام تعليمية مختلفة، ويدعم هذا التنوع فكرة حشد المصادر من خلال الاستفادة من مساهمات متنوعة من المتعلمين والموارد المتاحة (مثل الأفكار، الحلول، التقييمات) لتحقيق أهداف تعليمية محددة.</w:t>
      </w:r>
    </w:p>
    <w:p w14:paraId="63917555" w14:textId="77777777" w:rsidR="00F918E8" w:rsidRPr="0008291E" w:rsidRDefault="00F918E8" w:rsidP="005D211B">
      <w:pPr>
        <w:bidi/>
        <w:ind w:left="360" w:firstLine="720"/>
        <w:jc w:val="both"/>
        <w:rPr>
          <w:rFonts w:asciiTheme="majorBidi" w:hAnsiTheme="majorBidi" w:cstheme="majorBidi"/>
          <w:sz w:val="28"/>
          <w:szCs w:val="28"/>
          <w:rtl/>
        </w:rPr>
      </w:pPr>
      <w:r w:rsidRPr="0008291E">
        <w:rPr>
          <w:rFonts w:asciiTheme="majorBidi" w:hAnsiTheme="majorBidi" w:cstheme="majorBidi"/>
          <w:b/>
          <w:bCs/>
          <w:sz w:val="28"/>
          <w:szCs w:val="28"/>
          <w:rtl/>
        </w:rPr>
        <w:t>دمج تقنيات الويب 2.0:</w:t>
      </w:r>
      <w:r w:rsidRPr="0008291E">
        <w:rPr>
          <w:rFonts w:asciiTheme="majorBidi" w:hAnsiTheme="majorBidi" w:cstheme="majorBidi"/>
          <w:sz w:val="28"/>
          <w:szCs w:val="28"/>
          <w:rtl/>
        </w:rPr>
        <w:t xml:space="preserve"> تستخدم بعض بيئات التعلم الإلكترونية مفاهيم الويب 2.0 لتحسين تفاعل المستخدم وتعزيز التواصل بين العميل والخادم، من خلال أدوات مثل </w:t>
      </w:r>
      <w:proofErr w:type="gramStart"/>
      <w:r w:rsidRPr="0008291E">
        <w:rPr>
          <w:rFonts w:asciiTheme="majorBidi" w:hAnsiTheme="majorBidi" w:cstheme="majorBidi"/>
          <w:sz w:val="28"/>
          <w:szCs w:val="28"/>
          <w:rtl/>
        </w:rPr>
        <w:t>الويكي</w:t>
      </w:r>
      <w:proofErr w:type="gramEnd"/>
      <w:r w:rsidRPr="0008291E">
        <w:rPr>
          <w:rFonts w:asciiTheme="majorBidi" w:hAnsiTheme="majorBidi" w:cstheme="majorBidi"/>
          <w:sz w:val="28"/>
          <w:szCs w:val="28"/>
          <w:rtl/>
        </w:rPr>
        <w:t xml:space="preserve"> والمنتديات وأدوات التعليق والتصويت. وهذا يعكس فكرة حشد المصادر في الاستفادة من حكمة الجمهور وإشراكهم في العملية التعليمية من خلال أدوات التواصل والتعاون التي توفرها تقنيات الويب 2.0.</w:t>
      </w:r>
    </w:p>
    <w:p w14:paraId="5E4F22E1" w14:textId="77777777" w:rsidR="00F918E8" w:rsidRPr="0008291E" w:rsidRDefault="00F918E8" w:rsidP="005D211B">
      <w:pPr>
        <w:bidi/>
        <w:ind w:left="360" w:firstLine="720"/>
        <w:jc w:val="both"/>
        <w:rPr>
          <w:rFonts w:asciiTheme="majorBidi" w:hAnsiTheme="majorBidi" w:cstheme="majorBidi"/>
          <w:sz w:val="28"/>
          <w:szCs w:val="28"/>
          <w:rtl/>
        </w:rPr>
      </w:pPr>
      <w:r w:rsidRPr="0008291E">
        <w:rPr>
          <w:rFonts w:asciiTheme="majorBidi" w:hAnsiTheme="majorBidi" w:cstheme="majorBidi"/>
          <w:b/>
          <w:bCs/>
          <w:sz w:val="28"/>
          <w:szCs w:val="28"/>
          <w:rtl/>
        </w:rPr>
        <w:t>هياكل الدعم:</w:t>
      </w:r>
      <w:r w:rsidRPr="0008291E">
        <w:rPr>
          <w:rFonts w:asciiTheme="majorBidi" w:hAnsiTheme="majorBidi" w:cstheme="majorBidi"/>
          <w:sz w:val="28"/>
          <w:szCs w:val="28"/>
          <w:rtl/>
        </w:rPr>
        <w:t xml:space="preserve"> تلعب المؤسسات دورًا نشطًا في توفير هياكل الدعم للمعلمين والطلاب في التعلم الإلكتروني (كدعم فني وتدريب). يضمن ذلك حصول كل من أعضاء هيئة التدريس والمتعلمين على الدعم اللازم لتجربة تعلم إلكتروني ناجح، ويتماشى ذلك مع متطلبات حشد المصادر في ضرورة وجود بيئة منظمة وداعمة يتم فيها تسهيل المشاركة، وتبادل المعرفة والخبرات، وإدارة المساهمات بفعالية، مما يضمن حصول جميع المشاركين على الدعم اللازم لتحقيق تجربة تعلم ناجحة.</w:t>
      </w:r>
    </w:p>
    <w:p w14:paraId="1CFA0C40" w14:textId="77777777" w:rsidR="00F918E8" w:rsidRPr="0008291E" w:rsidRDefault="00F918E8" w:rsidP="005D211B">
      <w:pPr>
        <w:bidi/>
        <w:ind w:left="360" w:firstLine="720"/>
        <w:jc w:val="both"/>
        <w:rPr>
          <w:rFonts w:asciiTheme="majorBidi" w:hAnsiTheme="majorBidi" w:cstheme="majorBidi"/>
          <w:sz w:val="28"/>
          <w:szCs w:val="28"/>
          <w:rtl/>
        </w:rPr>
      </w:pPr>
      <w:r w:rsidRPr="0008291E">
        <w:rPr>
          <w:rFonts w:asciiTheme="majorBidi" w:hAnsiTheme="majorBidi" w:cstheme="majorBidi"/>
          <w:b/>
          <w:bCs/>
          <w:sz w:val="28"/>
          <w:szCs w:val="28"/>
          <w:rtl/>
        </w:rPr>
        <w:lastRenderedPageBreak/>
        <w:t>الأمن والخصوصية:</w:t>
      </w:r>
      <w:r w:rsidRPr="0008291E">
        <w:rPr>
          <w:rFonts w:asciiTheme="majorBidi" w:hAnsiTheme="majorBidi" w:cstheme="majorBidi"/>
          <w:sz w:val="28"/>
          <w:szCs w:val="28"/>
          <w:rtl/>
        </w:rPr>
        <w:t xml:space="preserve"> تضمن بيئة التعلم الإلكترونية إجراءات أمنية قوية لحماية بيانات المتعلمين والحفاظ على خصوصيتهم، مع توفير بيئة تعلم آمنة تضمن سلامة المعلومات. ويتوافق هذا مع متطلبات حشد المصادر، خاصة عند التعامل مع مساهمات أصلية أو تقييمات الأقران أو بيانات شخصية للمشاركين، حيث يجب الحفاظ على سرية وأمن هذه البيانات والمعلومات.</w:t>
      </w:r>
    </w:p>
    <w:p w14:paraId="3FB4A60D" w14:textId="77777777" w:rsidR="00F918E8" w:rsidRPr="0008291E" w:rsidRDefault="00F918E8" w:rsidP="005D211B">
      <w:pPr>
        <w:bidi/>
        <w:ind w:left="360" w:firstLine="720"/>
        <w:jc w:val="both"/>
        <w:rPr>
          <w:rFonts w:asciiTheme="majorBidi" w:hAnsiTheme="majorBidi" w:cstheme="majorBidi"/>
          <w:sz w:val="28"/>
          <w:szCs w:val="28"/>
          <w:rtl/>
        </w:rPr>
      </w:pPr>
      <w:r w:rsidRPr="0008291E">
        <w:rPr>
          <w:rFonts w:asciiTheme="majorBidi" w:hAnsiTheme="majorBidi" w:cstheme="majorBidi"/>
          <w:b/>
          <w:bCs/>
          <w:sz w:val="28"/>
          <w:szCs w:val="28"/>
          <w:rtl/>
        </w:rPr>
        <w:t>التقييم والتغذية الراجعة:</w:t>
      </w:r>
      <w:r w:rsidRPr="0008291E">
        <w:rPr>
          <w:rFonts w:asciiTheme="majorBidi" w:hAnsiTheme="majorBidi" w:cstheme="majorBidi"/>
          <w:sz w:val="28"/>
          <w:szCs w:val="28"/>
          <w:rtl/>
        </w:rPr>
        <w:t xml:space="preserve"> توفر البيئة أدوات لتقديم تغذية راجعة فورية ومباشرة حول أداء المتعلمين في الأنشطة المختلفة، مما يساعدهم على تقييم تقدمهم وتحسينه. ويتماشى ذلك مع فكرة حشد المصادر في استخدام آليات مثل تقييمات الأقران أو التصويت على المساهمات، حيث تعتبر التغذية الراجعة (سواء من المعلم أو الأقران) عنصراً هاماً لتحسين جودة المخرجات وتطوير المهارات.</w:t>
      </w:r>
    </w:p>
    <w:p w14:paraId="600F0DE5" w14:textId="77777777" w:rsidR="00F918E8" w:rsidRPr="0008291E" w:rsidRDefault="00F918E8" w:rsidP="00482C79">
      <w:pPr>
        <w:bidi/>
        <w:ind w:firstLine="720"/>
        <w:rPr>
          <w:rFonts w:asciiTheme="majorBidi" w:hAnsiTheme="majorBidi" w:cstheme="majorBidi"/>
          <w:sz w:val="28"/>
          <w:szCs w:val="28"/>
        </w:rPr>
      </w:pPr>
      <w:r w:rsidRPr="0008291E">
        <w:rPr>
          <w:rFonts w:asciiTheme="majorBidi" w:hAnsiTheme="majorBidi" w:cstheme="majorBidi"/>
          <w:b/>
          <w:bCs/>
          <w:sz w:val="28"/>
          <w:szCs w:val="28"/>
          <w:rtl/>
        </w:rPr>
        <w:t>مفهوم حشد المصادر</w:t>
      </w:r>
    </w:p>
    <w:p w14:paraId="3C94FB69" w14:textId="77777777" w:rsidR="00F918E8" w:rsidRPr="0008291E" w:rsidRDefault="00F918E8" w:rsidP="00F918E8">
      <w:pPr>
        <w:bidi/>
        <w:ind w:left="720" w:firstLine="720"/>
        <w:rPr>
          <w:rFonts w:asciiTheme="majorBidi" w:hAnsiTheme="majorBidi" w:cstheme="majorBidi"/>
          <w:sz w:val="28"/>
          <w:szCs w:val="28"/>
          <w:rtl/>
        </w:rPr>
      </w:pPr>
      <w:r w:rsidRPr="0008291E">
        <w:rPr>
          <w:rFonts w:asciiTheme="majorBidi" w:hAnsiTheme="majorBidi" w:cstheme="majorBidi"/>
          <w:sz w:val="28"/>
          <w:szCs w:val="28"/>
          <w:rtl/>
        </w:rPr>
        <w:t>يشير مفهوم حشد المصادر إلى نموذج مستحدث للاستعانة بمجموعة كبيرة من الأفراد، غالبًا عبر الإنترنت، لإنجاز مهمة أو حل مشكلة أو توليد أفكار، بدلًا من الاعتماد على موظفين أو متعاقدين تقليديين (</w:t>
      </w:r>
      <w:r w:rsidRPr="0008291E">
        <w:rPr>
          <w:rFonts w:asciiTheme="majorBidi" w:hAnsiTheme="majorBidi" w:cstheme="majorBidi"/>
          <w:sz w:val="28"/>
          <w:szCs w:val="28"/>
        </w:rPr>
        <w:t>Howe, 2006</w:t>
      </w:r>
      <w:r w:rsidRPr="0008291E">
        <w:rPr>
          <w:rFonts w:asciiTheme="majorBidi" w:hAnsiTheme="majorBidi" w:cstheme="majorBidi"/>
          <w:sz w:val="28"/>
          <w:szCs w:val="28"/>
          <w:rtl/>
        </w:rPr>
        <w:t>). وقد اكتسب هذا النموذج أهمية متزايدة في مختلف المجالات، بما في ذلك الأعمال والعلوم، وبشكل ملحوظ، في مجال تكنولوجيا التعليم. ويُعتبر حشد المصادر مدخلًا حديثًا لاكتساب المعرفة واستخلاص المعلومات وتبادل الأفكار بين الخبراء والأفراد، وقد يسّر ظهوره تطور شبكة الويب وظهور الويب التشاركي، الذي مكّن الأفراد من المساهمة بشكل جماعي في إنشاء المحتوى وحل المشكلات (محمد وآخرون, 2024).</w:t>
      </w:r>
    </w:p>
    <w:p w14:paraId="3A7DB03B" w14:textId="77777777" w:rsidR="00F918E8" w:rsidRPr="0008291E" w:rsidRDefault="00F918E8" w:rsidP="00F918E8">
      <w:pPr>
        <w:bidi/>
        <w:ind w:left="720" w:firstLine="720"/>
        <w:rPr>
          <w:rFonts w:asciiTheme="majorBidi" w:hAnsiTheme="majorBidi" w:cstheme="majorBidi"/>
          <w:sz w:val="28"/>
          <w:szCs w:val="28"/>
          <w:rtl/>
        </w:rPr>
      </w:pPr>
      <w:r w:rsidRPr="0008291E">
        <w:rPr>
          <w:rFonts w:asciiTheme="majorBidi" w:hAnsiTheme="majorBidi" w:cstheme="majorBidi"/>
          <w:sz w:val="28"/>
          <w:szCs w:val="28"/>
          <w:rtl/>
        </w:rPr>
        <w:t>وبالانتقال إلى تطبيقه في البيئات الرقمية، تسعى تقنية حشد المصادر الإلكترونية إلى استثمار خبرات الآخرين، حيث تهدف إلى توظيف معارف الطلاب وقدراتهم الفكرية للبناء عليها من أجل الوصول إلى نتائج محسّنة من خلال ما يُعرف بـ "الذكاء الجمعي". يُعتمد حشد المصادر كوسيلة لجمع البيانات والمعلومات من أكبر عدد ممكن من الأفراد المتصلين عبر الإنترنت بشأن قضايا أو مشكلات معينة، بهدف المساعدة في إيجاد حلول لهذه المشكلات. كما يُعتبر هذا الأسلوب ملائمًا لدعم تقييم الأقران (</w:t>
      </w:r>
      <w:r w:rsidRPr="0008291E">
        <w:rPr>
          <w:rFonts w:asciiTheme="majorBidi" w:hAnsiTheme="majorBidi" w:cstheme="majorBidi"/>
          <w:sz w:val="28"/>
          <w:szCs w:val="28"/>
        </w:rPr>
        <w:t xml:space="preserve">Andriole, 2010; </w:t>
      </w:r>
      <w:proofErr w:type="spellStart"/>
      <w:r w:rsidRPr="0008291E">
        <w:rPr>
          <w:rFonts w:asciiTheme="majorBidi" w:hAnsiTheme="majorBidi" w:cstheme="majorBidi"/>
          <w:sz w:val="28"/>
          <w:szCs w:val="28"/>
        </w:rPr>
        <w:t>Solemon</w:t>
      </w:r>
      <w:proofErr w:type="spellEnd"/>
      <w:r w:rsidRPr="0008291E">
        <w:rPr>
          <w:rFonts w:asciiTheme="majorBidi" w:hAnsiTheme="majorBidi" w:cstheme="majorBidi"/>
          <w:sz w:val="28"/>
          <w:szCs w:val="28"/>
        </w:rPr>
        <w:t xml:space="preserve"> et al., 2013</w:t>
      </w:r>
      <w:r w:rsidRPr="0008291E">
        <w:rPr>
          <w:rFonts w:asciiTheme="majorBidi" w:hAnsiTheme="majorBidi" w:cstheme="majorBidi"/>
          <w:sz w:val="28"/>
          <w:szCs w:val="28"/>
          <w:rtl/>
        </w:rPr>
        <w:t>).</w:t>
      </w:r>
    </w:p>
    <w:p w14:paraId="02DE8D0C" w14:textId="77777777" w:rsidR="00F918E8" w:rsidRPr="0008291E" w:rsidRDefault="00F918E8" w:rsidP="00F918E8">
      <w:pPr>
        <w:bidi/>
        <w:ind w:left="720" w:firstLine="720"/>
        <w:rPr>
          <w:rFonts w:asciiTheme="majorBidi" w:hAnsiTheme="majorBidi" w:cstheme="majorBidi"/>
          <w:sz w:val="28"/>
          <w:szCs w:val="28"/>
          <w:rtl/>
        </w:rPr>
      </w:pPr>
      <w:r w:rsidRPr="0008291E">
        <w:rPr>
          <w:rFonts w:asciiTheme="majorBidi" w:hAnsiTheme="majorBidi" w:cstheme="majorBidi"/>
          <w:sz w:val="28"/>
          <w:szCs w:val="28"/>
          <w:rtl/>
        </w:rPr>
        <w:t>ولفهم أعمق لهذا المفهوم في سياق تكنولوجيا التعليم، يوضح خميس (2020, ص. 419) أن مفهوم حشد المصادر هو عبارة عن "نشاط تعاوني يتم عبر الإنترنت، حيث يُسهم فيه مجموعة من الأفراد في معالجة مشكلة معقدة أو إنجاز مهمة تتطلب جهودًا متعددة. يتحقق ذلك من خلال تقسيم المشكلة أو المهمة إلى أجزاء أصغر، وتحفيز الأفراد على حلها بشكل متتابع، ليتم في النهاية تجميع هذه الحلول الجزئية لتحقيق حل كامل وشامل للمشكلة الرئيسية".</w:t>
      </w:r>
    </w:p>
    <w:p w14:paraId="2ED5AF05" w14:textId="77777777" w:rsidR="00F918E8" w:rsidRPr="0008291E" w:rsidRDefault="00F918E8" w:rsidP="00F918E8">
      <w:pPr>
        <w:bidi/>
        <w:ind w:left="720" w:firstLine="720"/>
        <w:rPr>
          <w:rFonts w:asciiTheme="majorBidi" w:hAnsiTheme="majorBidi" w:cstheme="majorBidi"/>
          <w:sz w:val="28"/>
          <w:szCs w:val="28"/>
          <w:rtl/>
        </w:rPr>
      </w:pPr>
      <w:r w:rsidRPr="0008291E">
        <w:rPr>
          <w:rFonts w:asciiTheme="majorBidi" w:hAnsiTheme="majorBidi" w:cstheme="majorBidi"/>
          <w:sz w:val="28"/>
          <w:szCs w:val="28"/>
          <w:rtl/>
        </w:rPr>
        <w:t xml:space="preserve">وبينما يركز خميس على آلية تقسيم المهمة وتجميع الحلول، يقدم </w:t>
      </w:r>
      <w:r w:rsidRPr="0008291E">
        <w:rPr>
          <w:rFonts w:asciiTheme="majorBidi" w:hAnsiTheme="majorBidi" w:cstheme="majorBidi"/>
          <w:sz w:val="28"/>
          <w:szCs w:val="28"/>
        </w:rPr>
        <w:t>Paulin</w:t>
      </w:r>
      <w:r w:rsidRPr="0008291E">
        <w:rPr>
          <w:rFonts w:asciiTheme="majorBidi" w:hAnsiTheme="majorBidi" w:cstheme="majorBidi"/>
          <w:sz w:val="28"/>
          <w:szCs w:val="28"/>
          <w:rtl/>
        </w:rPr>
        <w:t xml:space="preserve"> </w:t>
      </w:r>
      <w:proofErr w:type="gramStart"/>
      <w:r w:rsidRPr="0008291E">
        <w:rPr>
          <w:rFonts w:asciiTheme="majorBidi" w:hAnsiTheme="majorBidi" w:cstheme="majorBidi"/>
          <w:sz w:val="28"/>
          <w:szCs w:val="28"/>
          <w:rtl/>
        </w:rPr>
        <w:t xml:space="preserve">و </w:t>
      </w:r>
      <w:r w:rsidRPr="0008291E">
        <w:rPr>
          <w:rFonts w:asciiTheme="majorBidi" w:hAnsiTheme="majorBidi" w:cstheme="majorBidi"/>
          <w:sz w:val="28"/>
          <w:szCs w:val="28"/>
        </w:rPr>
        <w:t>Haythornthwaite</w:t>
      </w:r>
      <w:proofErr w:type="gramEnd"/>
      <w:r w:rsidRPr="0008291E">
        <w:rPr>
          <w:rFonts w:asciiTheme="majorBidi" w:hAnsiTheme="majorBidi" w:cstheme="majorBidi"/>
          <w:sz w:val="28"/>
          <w:szCs w:val="28"/>
        </w:rPr>
        <w:t xml:space="preserve"> (2016, p. 8)</w:t>
      </w:r>
      <w:r w:rsidRPr="0008291E">
        <w:rPr>
          <w:rFonts w:asciiTheme="majorBidi" w:hAnsiTheme="majorBidi" w:cstheme="majorBidi"/>
          <w:sz w:val="28"/>
          <w:szCs w:val="28"/>
          <w:rtl/>
        </w:rPr>
        <w:t xml:space="preserve"> منظوراً يضيف التركيز على المصادر الخارجية ودور التحفيز، فيعرفان حشد المصادر على أنه "نوع من الأنشطة التعليمية التي تُنفذ عبر الإنترنت بالاعتماد على مصادر خارجية متنوعة، حيث يقوم المتعلمون بشكل جماعي أو تشاركي بحل مشكلة تعليمية أو أداء مهمة صعبة عن طريق تجزئتها إلى مهام فرعية أصغر. ويُعتبر التحفيز عنصرًا </w:t>
      </w:r>
      <w:r w:rsidRPr="0008291E">
        <w:rPr>
          <w:rFonts w:asciiTheme="majorBidi" w:hAnsiTheme="majorBidi" w:cstheme="majorBidi"/>
          <w:sz w:val="28"/>
          <w:szCs w:val="28"/>
          <w:rtl/>
        </w:rPr>
        <w:lastRenderedPageBreak/>
        <w:t>أساسيًا في إنجاز هذه المساهمات، حيث يعتمد حشد المصادر على خبرات الجمهور وتجاربهم المختلفة، مما يجعله أكثر فاعلية ومصداقية."</w:t>
      </w:r>
    </w:p>
    <w:p w14:paraId="56A82C5B" w14:textId="4752CF83" w:rsidR="00F918E8" w:rsidRPr="0008291E" w:rsidRDefault="00F918E8" w:rsidP="00F918E8">
      <w:pPr>
        <w:bidi/>
        <w:ind w:left="720" w:firstLine="720"/>
        <w:rPr>
          <w:rFonts w:asciiTheme="majorBidi" w:hAnsiTheme="majorBidi" w:cstheme="majorBidi"/>
          <w:sz w:val="28"/>
          <w:szCs w:val="28"/>
          <w:rtl/>
        </w:rPr>
      </w:pPr>
      <w:r w:rsidRPr="0008291E">
        <w:rPr>
          <w:rFonts w:asciiTheme="majorBidi" w:hAnsiTheme="majorBidi" w:cstheme="majorBidi"/>
          <w:sz w:val="28"/>
          <w:szCs w:val="28"/>
          <w:rtl/>
        </w:rPr>
        <w:t xml:space="preserve">وبالنظر إلى العملية من زاوية أدوار المشاركين والقائم بالحشد، عرّف </w:t>
      </w:r>
      <w:proofErr w:type="spellStart"/>
      <w:r w:rsidRPr="0008291E">
        <w:rPr>
          <w:rFonts w:asciiTheme="majorBidi" w:hAnsiTheme="majorBidi" w:cstheme="majorBidi"/>
          <w:b/>
          <w:bCs/>
          <w:sz w:val="28"/>
          <w:szCs w:val="28"/>
        </w:rPr>
        <w:t>Estellés</w:t>
      </w:r>
      <w:proofErr w:type="spellEnd"/>
      <w:r w:rsidRPr="0008291E">
        <w:rPr>
          <w:rFonts w:asciiTheme="majorBidi" w:hAnsiTheme="majorBidi" w:cstheme="majorBidi"/>
          <w:b/>
          <w:bCs/>
          <w:sz w:val="28"/>
          <w:szCs w:val="28"/>
          <w:rtl/>
        </w:rPr>
        <w:t xml:space="preserve"> وآخرون (2019, </w:t>
      </w:r>
      <w:r w:rsidRPr="0008291E">
        <w:rPr>
          <w:rFonts w:asciiTheme="majorBidi" w:hAnsiTheme="majorBidi" w:cstheme="majorBidi"/>
          <w:b/>
          <w:bCs/>
          <w:sz w:val="28"/>
          <w:szCs w:val="28"/>
        </w:rPr>
        <w:t>p. 5</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حشد المصادر الإلكترونية بأنه شكل من أشكال الأنشطة التشاركية عبر الإنترنت، حيث يقوم فرد أو مؤسسة بطرح مهمة أو مشكلة محددة على مجموعة من الأفراد ذوي الخبرات المتنوعة بهدف إنجازها وإيجاد حلول لها، مما يحقق فائدة متبادلة لكل من القائم بالحشد والمشاركين فيه. ومن نفس الزاوية مع تأكيد إضافي على وضوح المهمة والحوافز، عرفه </w:t>
      </w:r>
      <w:proofErr w:type="gramStart"/>
      <w:r w:rsidRPr="0008291E">
        <w:rPr>
          <w:rFonts w:asciiTheme="majorBidi" w:hAnsiTheme="majorBidi" w:cstheme="majorBidi"/>
          <w:b/>
          <w:bCs/>
          <w:sz w:val="28"/>
          <w:szCs w:val="28"/>
          <w:rtl/>
        </w:rPr>
        <w:t>عبدالله</w:t>
      </w:r>
      <w:proofErr w:type="gramEnd"/>
      <w:r w:rsidRPr="0008291E">
        <w:rPr>
          <w:rFonts w:asciiTheme="majorBidi" w:hAnsiTheme="majorBidi" w:cstheme="majorBidi"/>
          <w:b/>
          <w:bCs/>
          <w:sz w:val="28"/>
          <w:szCs w:val="28"/>
          <w:rtl/>
        </w:rPr>
        <w:t xml:space="preserve"> (2023، ص. 714)</w:t>
      </w:r>
      <w:r w:rsidRPr="0008291E">
        <w:rPr>
          <w:rFonts w:asciiTheme="majorBidi" w:hAnsiTheme="majorBidi" w:cstheme="majorBidi"/>
          <w:sz w:val="28"/>
          <w:szCs w:val="28"/>
          <w:rtl/>
        </w:rPr>
        <w:t xml:space="preserve"> بأنه عملية متخصصة تتم عبر الإنترنت، وتعتبر نوعًا من العمل التشاركي الذي يركز على مهمة واضحة يطرحها القائم بالحشد على المشاركين، وذلك من خلال دعوتهم للمشاركة المفتوحة، مع التأكيد على تحديد الحافز أو المكافأة التي سيحصل عليها المشاركون بعد إكمال المهمة بنجاح.</w:t>
      </w:r>
    </w:p>
    <w:p w14:paraId="0CBA923A" w14:textId="77777777" w:rsidR="00F918E8" w:rsidRPr="0008291E" w:rsidRDefault="00F918E8" w:rsidP="00F918E8">
      <w:pPr>
        <w:bidi/>
        <w:ind w:left="720" w:firstLine="720"/>
        <w:rPr>
          <w:rFonts w:asciiTheme="majorBidi" w:hAnsiTheme="majorBidi" w:cstheme="majorBidi"/>
          <w:sz w:val="28"/>
          <w:szCs w:val="28"/>
          <w:rtl/>
        </w:rPr>
      </w:pPr>
      <w:r w:rsidRPr="0008291E">
        <w:rPr>
          <w:rFonts w:asciiTheme="majorBidi" w:hAnsiTheme="majorBidi" w:cstheme="majorBidi"/>
          <w:sz w:val="28"/>
          <w:szCs w:val="28"/>
          <w:rtl/>
        </w:rPr>
        <w:t xml:space="preserve">وفي تأكيد إضافي على دور المؤسسة التعليمية أو المعلم كمبادر في السياق التربوي، يُعرّف </w:t>
      </w:r>
      <w:r w:rsidRPr="0008291E">
        <w:rPr>
          <w:rFonts w:asciiTheme="majorBidi" w:hAnsiTheme="majorBidi" w:cstheme="majorBidi"/>
          <w:sz w:val="28"/>
          <w:szCs w:val="28"/>
        </w:rPr>
        <w:t>Jiang</w:t>
      </w:r>
      <w:r w:rsidRPr="0008291E">
        <w:rPr>
          <w:rFonts w:asciiTheme="majorBidi" w:hAnsiTheme="majorBidi" w:cstheme="majorBidi"/>
          <w:sz w:val="28"/>
          <w:szCs w:val="28"/>
          <w:rtl/>
        </w:rPr>
        <w:t xml:space="preserve"> </w:t>
      </w:r>
      <w:proofErr w:type="gramStart"/>
      <w:r w:rsidRPr="0008291E">
        <w:rPr>
          <w:rFonts w:asciiTheme="majorBidi" w:hAnsiTheme="majorBidi" w:cstheme="majorBidi"/>
          <w:sz w:val="28"/>
          <w:szCs w:val="28"/>
          <w:rtl/>
        </w:rPr>
        <w:t xml:space="preserve">و </w:t>
      </w:r>
      <w:r w:rsidRPr="0008291E">
        <w:rPr>
          <w:rFonts w:asciiTheme="majorBidi" w:hAnsiTheme="majorBidi" w:cstheme="majorBidi"/>
          <w:sz w:val="28"/>
          <w:szCs w:val="28"/>
        </w:rPr>
        <w:t>Daniel</w:t>
      </w:r>
      <w:proofErr w:type="gramEnd"/>
      <w:r w:rsidRPr="0008291E">
        <w:rPr>
          <w:rFonts w:asciiTheme="majorBidi" w:hAnsiTheme="majorBidi" w:cstheme="majorBidi"/>
          <w:sz w:val="28"/>
          <w:szCs w:val="28"/>
        </w:rPr>
        <w:t xml:space="preserve"> (2018, p. 3)</w:t>
      </w:r>
      <w:r w:rsidRPr="0008291E">
        <w:rPr>
          <w:rFonts w:asciiTheme="majorBidi" w:hAnsiTheme="majorBidi" w:cstheme="majorBidi"/>
          <w:sz w:val="28"/>
          <w:szCs w:val="28"/>
          <w:rtl/>
        </w:rPr>
        <w:t xml:space="preserve"> حشد المصادر في التعليم بأنه نشاطٌ تعاونيّ عبر الإنترنت، يتم من خلال دعوةٍ مفتوحة ومرنة من قِبل المؤسسات التعليمية أو المُعلمين، بهدف الحصول على مُساعدةٍ في حلّ المشكلات التعليمية أو التدريسية.</w:t>
      </w:r>
    </w:p>
    <w:p w14:paraId="4A111681" w14:textId="1BB91AA4" w:rsidR="00F918E8" w:rsidRPr="0008291E" w:rsidRDefault="00F918E8" w:rsidP="00325CF0">
      <w:pPr>
        <w:bidi/>
        <w:ind w:left="720" w:firstLine="720"/>
        <w:rPr>
          <w:rFonts w:asciiTheme="majorBidi" w:hAnsiTheme="majorBidi" w:cstheme="majorBidi"/>
          <w:sz w:val="28"/>
          <w:szCs w:val="28"/>
          <w:rtl/>
        </w:rPr>
      </w:pPr>
      <w:r w:rsidRPr="0008291E">
        <w:rPr>
          <w:rFonts w:asciiTheme="majorBidi" w:hAnsiTheme="majorBidi" w:cstheme="majorBidi"/>
          <w:sz w:val="28"/>
          <w:szCs w:val="28"/>
          <w:rtl/>
        </w:rPr>
        <w:t>وختاماً، يمكن القول بأن جوهر مفهوم حشد المصادر، كما يتضح من التعريفات المتعددة السابقة، يتمحور حول استخدام الذكاء الجمعي لحل المشكلات (</w:t>
      </w:r>
      <w:r w:rsidRPr="0008291E">
        <w:rPr>
          <w:rFonts w:asciiTheme="majorBidi" w:hAnsiTheme="majorBidi" w:cstheme="majorBidi"/>
          <w:sz w:val="28"/>
          <w:szCs w:val="28"/>
        </w:rPr>
        <w:t>Tarrell et al., 2013</w:t>
      </w:r>
      <w:r w:rsidRPr="0008291E">
        <w:rPr>
          <w:rFonts w:asciiTheme="majorBidi" w:hAnsiTheme="majorBidi" w:cstheme="majorBidi"/>
          <w:sz w:val="28"/>
          <w:szCs w:val="28"/>
          <w:rtl/>
        </w:rPr>
        <w:t>) وتوظيف الأفراد بدوافع متنوعة لإنجاز المهام (</w:t>
      </w:r>
      <w:proofErr w:type="spellStart"/>
      <w:r w:rsidRPr="0008291E">
        <w:rPr>
          <w:rFonts w:asciiTheme="majorBidi" w:hAnsiTheme="majorBidi" w:cstheme="majorBidi"/>
          <w:sz w:val="28"/>
          <w:szCs w:val="28"/>
        </w:rPr>
        <w:t>Bozzon</w:t>
      </w:r>
      <w:proofErr w:type="spellEnd"/>
      <w:r w:rsidRPr="0008291E">
        <w:rPr>
          <w:rFonts w:asciiTheme="majorBidi" w:hAnsiTheme="majorBidi" w:cstheme="majorBidi"/>
          <w:sz w:val="28"/>
          <w:szCs w:val="28"/>
        </w:rPr>
        <w:t xml:space="preserve"> et al., 2013</w:t>
      </w:r>
      <w:r w:rsidRPr="0008291E">
        <w:rPr>
          <w:rFonts w:asciiTheme="majorBidi" w:hAnsiTheme="majorBidi" w:cstheme="majorBidi"/>
          <w:sz w:val="28"/>
          <w:szCs w:val="28"/>
          <w:rtl/>
        </w:rPr>
        <w:t>). ويُمكن اعتبار حشد المصادر إطار عملٍ رسميّ يُسخّر مساهمات الجمهور لإتمام المهام وتقديم الخدمات بكفاءة (</w:t>
      </w:r>
      <w:r w:rsidRPr="0008291E">
        <w:rPr>
          <w:rFonts w:asciiTheme="majorBidi" w:hAnsiTheme="majorBidi" w:cstheme="majorBidi"/>
          <w:sz w:val="28"/>
          <w:szCs w:val="28"/>
        </w:rPr>
        <w:t>Dang et al., 2013</w:t>
      </w:r>
      <w:r w:rsidRPr="0008291E">
        <w:rPr>
          <w:rFonts w:asciiTheme="majorBidi" w:hAnsiTheme="majorBidi" w:cstheme="majorBidi"/>
          <w:sz w:val="28"/>
          <w:szCs w:val="28"/>
          <w:rtl/>
        </w:rPr>
        <w:t>).</w:t>
      </w:r>
    </w:p>
    <w:p w14:paraId="0C992CB5" w14:textId="77777777" w:rsidR="00F918E8" w:rsidRPr="0008291E" w:rsidRDefault="00F918E8" w:rsidP="00325CF0">
      <w:pPr>
        <w:pStyle w:val="Heading2"/>
        <w:bidi/>
        <w:rPr>
          <w:rFonts w:asciiTheme="majorBidi" w:hAnsiTheme="majorBidi"/>
        </w:rPr>
      </w:pPr>
      <w:r w:rsidRPr="0008291E">
        <w:rPr>
          <w:rFonts w:asciiTheme="majorBidi" w:hAnsiTheme="majorBidi"/>
          <w:rtl/>
        </w:rPr>
        <w:t>أهمية حشد المصادر</w:t>
      </w:r>
    </w:p>
    <w:p w14:paraId="6B54C70F" w14:textId="77777777" w:rsidR="00F918E8" w:rsidRPr="0008291E" w:rsidRDefault="00F918E8" w:rsidP="00EA30E5">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يرى خميس (2020, ص. 428) أن المتعلمين في سياق حشد المصادر يُنظر إليهم كفاعلين، حيث لا يُعدّون مجرد مجموعة تؤدي مهمة، بل يمثل مدخل حشد المصادر نموذجًا متكاملًا يهدف إلى تعزيز أداء المجموعة. وتتجلى أهميته في توفير حلول ذات جودة عالية بتكاليف منخفضة.</w:t>
      </w:r>
    </w:p>
    <w:p w14:paraId="2E658A34" w14:textId="37179211" w:rsidR="00F918E8" w:rsidRPr="0008291E" w:rsidRDefault="00F918E8" w:rsidP="00EA30E5">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ذكرت العديد من الدراسات أهمية وفوائد حشد المصادر في التعليم، والتي يمكن أن يستفيد منها البحث الحالي، وبخاصة أهمية حشد المصادر في بيئة التعليم الإلكترونية. ومن هذه الدراسات دراسة </w:t>
      </w:r>
      <w:proofErr w:type="spellStart"/>
      <w:r w:rsidRPr="0008291E">
        <w:rPr>
          <w:rFonts w:asciiTheme="majorBidi" w:hAnsiTheme="majorBidi" w:cstheme="majorBidi"/>
          <w:sz w:val="28"/>
          <w:szCs w:val="28"/>
          <w:rtl/>
        </w:rPr>
        <w:t>سوليمون</w:t>
      </w:r>
      <w:proofErr w:type="spellEnd"/>
      <w:r w:rsidRPr="0008291E">
        <w:rPr>
          <w:rFonts w:asciiTheme="majorBidi" w:hAnsiTheme="majorBidi" w:cstheme="majorBidi"/>
          <w:sz w:val="28"/>
          <w:szCs w:val="28"/>
          <w:rtl/>
        </w:rPr>
        <w:t xml:space="preserve"> وآخرون (</w:t>
      </w:r>
      <w:proofErr w:type="spellStart"/>
      <w:r w:rsidRPr="0008291E">
        <w:rPr>
          <w:rFonts w:asciiTheme="majorBidi" w:hAnsiTheme="majorBidi" w:cstheme="majorBidi"/>
          <w:sz w:val="28"/>
          <w:szCs w:val="28"/>
        </w:rPr>
        <w:t>Solemon</w:t>
      </w:r>
      <w:proofErr w:type="spellEnd"/>
      <w:r w:rsidRPr="0008291E">
        <w:rPr>
          <w:rFonts w:asciiTheme="majorBidi" w:hAnsiTheme="majorBidi" w:cstheme="majorBidi"/>
          <w:sz w:val="28"/>
          <w:szCs w:val="28"/>
        </w:rPr>
        <w:t xml:space="preserve"> et al., 2013</w:t>
      </w:r>
      <w:r w:rsidRPr="0008291E">
        <w:rPr>
          <w:rFonts w:asciiTheme="majorBidi" w:hAnsiTheme="majorBidi" w:cstheme="majorBidi"/>
          <w:sz w:val="28"/>
          <w:szCs w:val="28"/>
          <w:rtl/>
        </w:rPr>
        <w:t>)؛ ودراسة هيلز (</w:t>
      </w:r>
      <w:r w:rsidRPr="0008291E">
        <w:rPr>
          <w:rFonts w:asciiTheme="majorBidi" w:hAnsiTheme="majorBidi" w:cstheme="majorBidi"/>
          <w:b/>
          <w:bCs/>
          <w:sz w:val="28"/>
          <w:szCs w:val="28"/>
        </w:rPr>
        <w:t>Hills, 2015</w:t>
      </w:r>
      <w:r w:rsidRPr="0008291E">
        <w:rPr>
          <w:rFonts w:asciiTheme="majorBidi" w:hAnsiTheme="majorBidi" w:cstheme="majorBidi"/>
          <w:sz w:val="28"/>
          <w:szCs w:val="28"/>
          <w:rtl/>
        </w:rPr>
        <w:t>)]؛ ودراسة نبيل السيد (</w:t>
      </w:r>
      <w:r w:rsidRPr="0008291E">
        <w:rPr>
          <w:rFonts w:asciiTheme="majorBidi" w:hAnsiTheme="majorBidi" w:cstheme="majorBidi"/>
          <w:b/>
          <w:bCs/>
          <w:sz w:val="28"/>
          <w:szCs w:val="28"/>
          <w:rtl/>
        </w:rPr>
        <w:t>نبيل السيد, 2021</w:t>
      </w:r>
      <w:proofErr w:type="gramStart"/>
      <w:r w:rsidRPr="0008291E">
        <w:rPr>
          <w:rFonts w:asciiTheme="majorBidi" w:hAnsiTheme="majorBidi" w:cstheme="majorBidi"/>
          <w:sz w:val="28"/>
          <w:szCs w:val="28"/>
          <w:rtl/>
        </w:rPr>
        <w:t>) ؛</w:t>
      </w:r>
      <w:proofErr w:type="gramEnd"/>
      <w:r w:rsidRPr="0008291E">
        <w:rPr>
          <w:rFonts w:asciiTheme="majorBidi" w:hAnsiTheme="majorBidi" w:cstheme="majorBidi"/>
          <w:sz w:val="28"/>
          <w:szCs w:val="28"/>
          <w:rtl/>
        </w:rPr>
        <w:t xml:space="preserve"> ودراسة شرين السيد ووفاء محمود (</w:t>
      </w:r>
      <w:r w:rsidRPr="0008291E">
        <w:rPr>
          <w:rFonts w:asciiTheme="majorBidi" w:hAnsiTheme="majorBidi" w:cstheme="majorBidi"/>
          <w:b/>
          <w:bCs/>
          <w:sz w:val="28"/>
          <w:szCs w:val="28"/>
          <w:rtl/>
        </w:rPr>
        <w:t>شرين السيد ووفاء محمود, 2022</w:t>
      </w:r>
      <w:proofErr w:type="gramStart"/>
      <w:r w:rsidRPr="0008291E">
        <w:rPr>
          <w:rFonts w:asciiTheme="majorBidi" w:hAnsiTheme="majorBidi" w:cstheme="majorBidi"/>
          <w:sz w:val="28"/>
          <w:szCs w:val="28"/>
          <w:rtl/>
        </w:rPr>
        <w:t>)</w:t>
      </w:r>
      <w:r w:rsidR="006D0DC9" w:rsidRPr="0008291E">
        <w:rPr>
          <w:rFonts w:asciiTheme="majorBidi" w:hAnsiTheme="majorBidi" w:cstheme="majorBidi"/>
          <w:sz w:val="28"/>
          <w:szCs w:val="28"/>
          <w:rtl/>
        </w:rPr>
        <w:t xml:space="preserve"> </w:t>
      </w:r>
      <w:r w:rsidRPr="0008291E">
        <w:rPr>
          <w:rFonts w:asciiTheme="majorBidi" w:hAnsiTheme="majorBidi" w:cstheme="majorBidi"/>
          <w:sz w:val="28"/>
          <w:szCs w:val="28"/>
          <w:rtl/>
        </w:rPr>
        <w:t>؛</w:t>
      </w:r>
      <w:proofErr w:type="gramEnd"/>
      <w:r w:rsidRPr="0008291E">
        <w:rPr>
          <w:rFonts w:asciiTheme="majorBidi" w:hAnsiTheme="majorBidi" w:cstheme="majorBidi"/>
          <w:sz w:val="28"/>
          <w:szCs w:val="28"/>
          <w:rtl/>
        </w:rPr>
        <w:t xml:space="preserve"> ودراسة </w:t>
      </w:r>
      <w:proofErr w:type="spellStart"/>
      <w:r w:rsidRPr="0008291E">
        <w:rPr>
          <w:rFonts w:asciiTheme="majorBidi" w:hAnsiTheme="majorBidi" w:cstheme="majorBidi"/>
          <w:sz w:val="28"/>
          <w:szCs w:val="28"/>
          <w:rtl/>
        </w:rPr>
        <w:t>جيانج</w:t>
      </w:r>
      <w:proofErr w:type="spellEnd"/>
      <w:r w:rsidRPr="0008291E">
        <w:rPr>
          <w:rFonts w:asciiTheme="majorBidi" w:hAnsiTheme="majorBidi" w:cstheme="majorBidi"/>
          <w:sz w:val="28"/>
          <w:szCs w:val="28"/>
          <w:rtl/>
        </w:rPr>
        <w:t xml:space="preserve"> وآخرون (</w:t>
      </w:r>
      <w:r w:rsidRPr="0008291E">
        <w:rPr>
          <w:rFonts w:asciiTheme="majorBidi" w:hAnsiTheme="majorBidi" w:cstheme="majorBidi"/>
          <w:b/>
          <w:bCs/>
          <w:sz w:val="28"/>
          <w:szCs w:val="28"/>
        </w:rPr>
        <w:t>Jiang et al., 2022</w:t>
      </w:r>
      <w:r w:rsidRPr="0008291E">
        <w:rPr>
          <w:rFonts w:asciiTheme="majorBidi" w:hAnsiTheme="majorBidi" w:cstheme="majorBidi"/>
          <w:sz w:val="28"/>
          <w:szCs w:val="28"/>
          <w:rtl/>
        </w:rPr>
        <w:t>) ودراسة ويلسون (</w:t>
      </w:r>
      <w:r w:rsidRPr="0008291E">
        <w:rPr>
          <w:rFonts w:asciiTheme="majorBidi" w:hAnsiTheme="majorBidi" w:cstheme="majorBidi"/>
          <w:sz w:val="28"/>
          <w:szCs w:val="28"/>
        </w:rPr>
        <w:t>Wilson, 2018</w:t>
      </w:r>
      <w:r w:rsidRPr="0008291E">
        <w:rPr>
          <w:rFonts w:asciiTheme="majorBidi" w:hAnsiTheme="majorBidi" w:cstheme="majorBidi"/>
          <w:sz w:val="28"/>
          <w:szCs w:val="28"/>
          <w:rtl/>
        </w:rPr>
        <w:t xml:space="preserve">). واستخلص الباحث من تلك الدراسات  أهمية حشد المصادر في بيئة التعليم الإلكترونية، والتي تكمن في أنه يُمكن من خلاله الحصول على حلول فعّالة وعالية الجودة للمشكلات التي </w:t>
      </w:r>
      <w:proofErr w:type="spellStart"/>
      <w:r w:rsidRPr="0008291E">
        <w:rPr>
          <w:rFonts w:asciiTheme="majorBidi" w:hAnsiTheme="majorBidi" w:cstheme="majorBidi"/>
          <w:sz w:val="28"/>
          <w:szCs w:val="28"/>
          <w:rtl/>
        </w:rPr>
        <w:t>يواجهها</w:t>
      </w:r>
      <w:proofErr w:type="spellEnd"/>
      <w:r w:rsidRPr="0008291E">
        <w:rPr>
          <w:rFonts w:asciiTheme="majorBidi" w:hAnsiTheme="majorBidi" w:cstheme="majorBidi"/>
          <w:sz w:val="28"/>
          <w:szCs w:val="28"/>
          <w:rtl/>
        </w:rPr>
        <w:t xml:space="preserve"> المتعلمون بتكاليف منخفضة، كما يساهم في تحسين المنتجات والخدمات التعليمية التكنولوجية، وزيادة مشاركة المتعلمين في عمليتي التعليم والتعلّم، وتحقيق رضا المتعلمين والمستفيدين من العملية التعليمية، وتعزيز التنافسية </w:t>
      </w:r>
      <w:r w:rsidRPr="0008291E">
        <w:rPr>
          <w:rFonts w:asciiTheme="majorBidi" w:hAnsiTheme="majorBidi" w:cstheme="majorBidi"/>
          <w:sz w:val="28"/>
          <w:szCs w:val="28"/>
          <w:rtl/>
        </w:rPr>
        <w:lastRenderedPageBreak/>
        <w:t>وزيادة الإقبال على المؤسسات التعليمية، ويتيح الاستفادة من إمكانيات وقدرات ومهارات جميع المتعلمين، وتقديم خدمات تعليمية تلبي احتياجاتهم المختلفة، فضلاً عن استثمار قدرات ومهارات أكبر عدد ممكن من المصادر البشرية المتخصصة المتاحة عبر الإنترنت، والاستفادة من إمكانات جميع المتعلمين داخل بيئة التعليم الإلكترونية وقدراتهم، وتبادل الخبرات والمعلومات بين أكبر عدد ممكن من المتعلمين المتواجدين، ويساعد على تحسين جودة التعليم من خلال جمع مصادر متعددة ومتنوعة وإدماجها في برنامج التعليم الخاص بهم، مما يجعل التعليم أكثر شمولية وفاعلية، ويمكن دمج حشد المصادر بشكل فعال في تعليم الكتابة لتنمية قدرات الطلاب في حل المشكلات والتفكير النقدي من خلال التعلم التعاوني واستخدام الذكاء الجماعي وأخيرًا يمكن للمتعلمين زيادة معرفتهم ومهاراتهم من خلال الاستفادة من عدد كبير من المصادر المختلفة مثل الكتب والمقالات والفيديوهات والبرامج التعليمية والدورات الإلكترونية، وتوفير الوقت والجهد من خلال إمكانية البحث عن المعلومات المطلوبة في أي وقت ومن أي مكان.</w:t>
      </w:r>
    </w:p>
    <w:p w14:paraId="0873BB32" w14:textId="1E4B5CD6" w:rsidR="00F918E8" w:rsidRPr="0008291E" w:rsidRDefault="00F918E8" w:rsidP="00EA30E5">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تقوم عمليات التفاعل بين المتعلمين والخبراء، والتفاعل بين المتعلمين وأقرانهم، بنتائج تعليمية جيدة، أكثر فائدة من المحتوى المعروض نفسه الذي قد يُمكن الحصول عليه من كتاب. ولكن توفير من يجيب عن أسئلة المتعلم، ويعطيه التغذية الراجعة، ويشرح له، ويبادله الخبرات، ويناقشه في المحتوى المعروض، كل هذا يصعب الحصول عليه في التعلم التقليدي، ويمكن توفره في الاستراتيجيات التعليمية التي تعتمد على التشارك، خاصة مع انتشار تطبيقات الويب 2.0، وبيئات التعلم الإلكترونية (</w:t>
      </w:r>
      <w:r w:rsidRPr="0008291E">
        <w:rPr>
          <w:rFonts w:asciiTheme="majorBidi" w:hAnsiTheme="majorBidi" w:cstheme="majorBidi"/>
          <w:b/>
          <w:bCs/>
          <w:sz w:val="28"/>
          <w:szCs w:val="28"/>
          <w:rtl/>
        </w:rPr>
        <w:t>عزمي, 2014</w:t>
      </w:r>
      <w:r w:rsidRPr="0008291E">
        <w:rPr>
          <w:rFonts w:asciiTheme="majorBidi" w:hAnsiTheme="majorBidi" w:cstheme="majorBidi"/>
          <w:sz w:val="28"/>
          <w:szCs w:val="28"/>
          <w:rtl/>
        </w:rPr>
        <w:t>).</w:t>
      </w:r>
    </w:p>
    <w:p w14:paraId="5AE11985" w14:textId="4C353C3B" w:rsidR="00F918E8" w:rsidRDefault="00F918E8" w:rsidP="00EA30E5">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يوضح </w:t>
      </w:r>
      <w:r w:rsidRPr="0008291E">
        <w:rPr>
          <w:rFonts w:asciiTheme="majorBidi" w:hAnsiTheme="majorBidi" w:cstheme="majorBidi"/>
          <w:b/>
          <w:bCs/>
          <w:sz w:val="28"/>
          <w:szCs w:val="28"/>
        </w:rPr>
        <w:t>Khan</w:t>
      </w:r>
      <w:r w:rsidRPr="0008291E">
        <w:rPr>
          <w:rFonts w:asciiTheme="majorBidi" w:hAnsiTheme="majorBidi" w:cstheme="majorBidi"/>
          <w:b/>
          <w:bCs/>
          <w:sz w:val="28"/>
          <w:szCs w:val="28"/>
          <w:rtl/>
        </w:rPr>
        <w:t xml:space="preserve"> وآخرون (2019)</w:t>
      </w:r>
      <w:r w:rsidRPr="0008291E">
        <w:rPr>
          <w:rFonts w:asciiTheme="majorBidi" w:hAnsiTheme="majorBidi" w:cstheme="majorBidi"/>
          <w:sz w:val="28"/>
          <w:szCs w:val="28"/>
          <w:rtl/>
        </w:rPr>
        <w:t xml:space="preserve"> أن حشد المصادر يتم من خلال مجتمعات حشد المصادر، وهي مجتمعات تعلم على الإنترنت قائمة على المهمة؛ حيث تقوم على حل المشكلات المعقدة التي تواجه الفرد بطريقة تشاركية أو تعاونية. فحشد المصادر هو مجموعة كبيرة أو صغيرة من الأفراد يسعون إلى الوصول لحل مشكلة قد يصعب على فرد بمفرده حلها. وتقوم مجتمعات حشد المصادر على الإنترنت على أساس دعم الأقران والذكاء الجمعي، وحكمة الجمهور، وتوزيع المعرفة وممارسة الأنشطة، وتنفيذ مهام محددة، وتبادل أنواع المعرفة المختلفة، وتبادل الأفكار بين أعضاء الفريق، وفي التقويم والتصويت، والحصول على التغذية الراجعة المناسبة، وفي الوقت المناسب.</w:t>
      </w:r>
    </w:p>
    <w:p w14:paraId="521F1D6C" w14:textId="78D9EED5" w:rsidR="00053328" w:rsidRPr="0034659B" w:rsidRDefault="00053328" w:rsidP="0034659B">
      <w:pPr>
        <w:bidi/>
        <w:ind w:left="720" w:firstLine="720"/>
        <w:jc w:val="both"/>
        <w:rPr>
          <w:rFonts w:asciiTheme="majorBidi" w:hAnsiTheme="majorBidi" w:cstheme="majorBidi"/>
          <w:sz w:val="28"/>
          <w:szCs w:val="28"/>
          <w:rtl/>
        </w:rPr>
      </w:pPr>
      <w:r w:rsidRPr="00053328">
        <w:rPr>
          <w:rFonts w:asciiTheme="majorBidi" w:hAnsiTheme="majorBidi" w:cstheme="majorBidi"/>
          <w:sz w:val="28"/>
          <w:szCs w:val="28"/>
          <w:rtl/>
        </w:rPr>
        <w:t>ومع ذلك، تنشأ التحديات من الحاجة إلى مشاركة عالية الجودة؛ يمكن أن تتعرض فعالية حشد المصادر التشاركي للخطر بسبب المفاهيم الخاطئة للمشاركين ونقص الخبرة، مما قد يعوق عملية التعلم</w:t>
      </w:r>
      <w:r w:rsidRPr="00053328">
        <w:rPr>
          <w:rFonts w:asciiTheme="majorBidi" w:hAnsiTheme="majorBidi" w:cstheme="majorBidi"/>
          <w:sz w:val="28"/>
          <w:szCs w:val="28"/>
        </w:rPr>
        <w:t xml:space="preserve"> (Hong et al., 2020). </w:t>
      </w:r>
      <w:r w:rsidRPr="00053328">
        <w:rPr>
          <w:rFonts w:asciiTheme="majorBidi" w:hAnsiTheme="majorBidi" w:cstheme="majorBidi"/>
          <w:sz w:val="28"/>
          <w:szCs w:val="28"/>
          <w:rtl/>
        </w:rPr>
        <w:t>علاوة على ذلك، في حين أن التشارك يمكن أن يعزز الأداء، فقد يؤدي أيضًا إلى انخفاض أداء المنافسة في الفرق، مما يشير إلى وجود علاقة معقدة بين التشارك والمساهمات الفردية</w:t>
      </w:r>
      <w:r w:rsidRPr="00053328">
        <w:rPr>
          <w:rFonts w:asciiTheme="majorBidi" w:hAnsiTheme="majorBidi" w:cstheme="majorBidi"/>
          <w:sz w:val="28"/>
          <w:szCs w:val="28"/>
        </w:rPr>
        <w:t xml:space="preserve"> (</w:t>
      </w:r>
      <w:proofErr w:type="spellStart"/>
      <w:r w:rsidRPr="00053328">
        <w:rPr>
          <w:rFonts w:asciiTheme="majorBidi" w:hAnsiTheme="majorBidi" w:cstheme="majorBidi"/>
          <w:sz w:val="28"/>
          <w:szCs w:val="28"/>
        </w:rPr>
        <w:t>Kharaghi</w:t>
      </w:r>
      <w:proofErr w:type="spellEnd"/>
      <w:r w:rsidRPr="00053328">
        <w:rPr>
          <w:rFonts w:asciiTheme="majorBidi" w:hAnsiTheme="majorBidi" w:cstheme="majorBidi"/>
          <w:sz w:val="28"/>
          <w:szCs w:val="28"/>
        </w:rPr>
        <w:t xml:space="preserve">, 2018). </w:t>
      </w:r>
      <w:r w:rsidRPr="00053328">
        <w:rPr>
          <w:rFonts w:asciiTheme="majorBidi" w:hAnsiTheme="majorBidi" w:cstheme="majorBidi"/>
          <w:sz w:val="28"/>
          <w:szCs w:val="28"/>
          <w:rtl/>
        </w:rPr>
        <w:t>وبالتالي، في حين أن حشد المصادر يمكن أن يُثري التعليم الإلكتروني بشكل كبير، فإن الإدارة الحذرة لمشاركة المشاركين وتوقعاتهم أمر بالغ الأهمية للتخفيف من قيوده</w:t>
      </w:r>
      <w:r w:rsidRPr="00053328">
        <w:rPr>
          <w:rFonts w:asciiTheme="majorBidi" w:hAnsiTheme="majorBidi" w:cstheme="majorBidi"/>
          <w:sz w:val="28"/>
          <w:szCs w:val="28"/>
        </w:rPr>
        <w:t>.</w:t>
      </w:r>
    </w:p>
    <w:p w14:paraId="6A6F7B05" w14:textId="11A131EE" w:rsidR="0034659B" w:rsidRPr="0034659B" w:rsidRDefault="0034659B" w:rsidP="0034659B">
      <w:pPr>
        <w:bidi/>
        <w:ind w:left="720" w:firstLine="720"/>
        <w:jc w:val="both"/>
        <w:rPr>
          <w:rFonts w:asciiTheme="majorBidi" w:hAnsiTheme="majorBidi" w:cstheme="majorBidi"/>
          <w:sz w:val="28"/>
          <w:szCs w:val="28"/>
        </w:rPr>
      </w:pPr>
      <w:r w:rsidRPr="0034659B">
        <w:rPr>
          <w:rFonts w:asciiTheme="majorBidi" w:hAnsiTheme="majorBidi" w:cstheme="majorBidi"/>
          <w:sz w:val="28"/>
          <w:szCs w:val="28"/>
          <w:rtl/>
        </w:rPr>
        <w:t xml:space="preserve">وسوف يستفيد الباحث من أهمية حشد المصادر في البحث الحالي من خلال توظيف مميزاته في تصميم بيئة التعلم الإلكترونية بنمطي حشد المصادر (التشاركي/التنافسي). حيث يتم الاستفادة من قدرة حشد المصادر على تعزيز مشاركة المتعلمين وتفاعلهم مما قد ينعكس إيجابًا على التدفق الذهني، </w:t>
      </w:r>
      <w:r w:rsidRPr="0034659B">
        <w:rPr>
          <w:rFonts w:asciiTheme="majorBidi" w:hAnsiTheme="majorBidi" w:cstheme="majorBidi"/>
          <w:sz w:val="28"/>
          <w:szCs w:val="28"/>
          <w:rtl/>
        </w:rPr>
        <w:lastRenderedPageBreak/>
        <w:t>وتوظيف إمكانية تبادل الخبرات والمعلومات والذكاء الجمعي في النمط التشاركي مما قد يدعم مهارات حل المشكلات، واستثمار قدرته على تعزيز التنافسية والدافعية في النمط التنافسي مما قد يؤثر أيضًا على التدفق وحل المشكلات. كما سيتم الاستفادة من مرونة حشد المصادر في إتاحة البحث عن المعلومات في أي وقت. ويهدف الباحث من خلال هذا التوظيف إلى تحقيق أقصى استفادة من مميزات حشد المصادر في تحسين جودة التعليم وتحقيق مخرجات تعليمية أكثر فاعلية على متغيرات الدراسة</w:t>
      </w:r>
      <w:r w:rsidRPr="0034659B">
        <w:rPr>
          <w:rFonts w:asciiTheme="majorBidi" w:hAnsiTheme="majorBidi" w:cstheme="majorBidi"/>
          <w:sz w:val="28"/>
          <w:szCs w:val="28"/>
        </w:rPr>
        <w:t>. "</w:t>
      </w:r>
    </w:p>
    <w:p w14:paraId="579F545C" w14:textId="77777777" w:rsidR="00702676" w:rsidRPr="0008291E" w:rsidRDefault="00702676" w:rsidP="00702676">
      <w:pPr>
        <w:pStyle w:val="Heading2"/>
        <w:bidi/>
        <w:rPr>
          <w:rFonts w:asciiTheme="majorBidi" w:hAnsiTheme="majorBidi"/>
        </w:rPr>
      </w:pPr>
      <w:r w:rsidRPr="0008291E">
        <w:rPr>
          <w:rFonts w:asciiTheme="majorBidi" w:hAnsiTheme="majorBidi"/>
          <w:rtl/>
        </w:rPr>
        <w:t>أنماط حشد المصادر</w:t>
      </w:r>
    </w:p>
    <w:p w14:paraId="16743B45" w14:textId="31549002" w:rsidR="00702676" w:rsidRPr="0008291E" w:rsidRDefault="00702676" w:rsidP="00A22AFB">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نظراً لتنوع تطبيقات حشد المصادر وتزايد الاهتمام به، تعددت المحاولات في الأدبيات البحثية لتصنيف مشاريعه وأنشطته وفقاً لمعايير متنوعة، مما يوفر أطرًا مختلفة لفهم هذا المفهوم وتطبيقاته (</w:t>
      </w:r>
      <w:r w:rsidRPr="0008291E">
        <w:rPr>
          <w:rFonts w:asciiTheme="majorBidi" w:hAnsiTheme="majorBidi" w:cstheme="majorBidi"/>
          <w:sz w:val="28"/>
          <w:szCs w:val="28"/>
        </w:rPr>
        <w:t xml:space="preserve">Anderson, 2011; </w:t>
      </w:r>
      <w:proofErr w:type="spellStart"/>
      <w:r w:rsidRPr="0008291E">
        <w:rPr>
          <w:rFonts w:asciiTheme="majorBidi" w:hAnsiTheme="majorBidi" w:cstheme="majorBidi"/>
          <w:sz w:val="28"/>
          <w:szCs w:val="28"/>
        </w:rPr>
        <w:t>Estellés</w:t>
      </w:r>
      <w:proofErr w:type="spellEnd"/>
      <w:r w:rsidRPr="0008291E">
        <w:rPr>
          <w:rFonts w:asciiTheme="majorBidi" w:hAnsiTheme="majorBidi" w:cstheme="majorBidi"/>
          <w:sz w:val="28"/>
          <w:szCs w:val="28"/>
        </w:rPr>
        <w:t>-Arolas</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González-</w:t>
      </w:r>
      <w:proofErr w:type="spellStart"/>
      <w:r w:rsidRPr="0008291E">
        <w:rPr>
          <w:rFonts w:asciiTheme="majorBidi" w:hAnsiTheme="majorBidi" w:cstheme="majorBidi"/>
          <w:sz w:val="28"/>
          <w:szCs w:val="28"/>
        </w:rPr>
        <w:t>Ladrón</w:t>
      </w:r>
      <w:proofErr w:type="spellEnd"/>
      <w:r w:rsidRPr="0008291E">
        <w:rPr>
          <w:rFonts w:asciiTheme="majorBidi" w:hAnsiTheme="majorBidi" w:cstheme="majorBidi"/>
          <w:sz w:val="28"/>
          <w:szCs w:val="28"/>
        </w:rPr>
        <w:t xml:space="preserve">-de-Guevara, 2012; Howe, 2008; Hutter et al., 2011; </w:t>
      </w:r>
      <w:proofErr w:type="spellStart"/>
      <w:r w:rsidRPr="0008291E">
        <w:rPr>
          <w:rFonts w:asciiTheme="majorBidi" w:hAnsiTheme="majorBidi" w:cstheme="majorBidi"/>
          <w:sz w:val="28"/>
          <w:szCs w:val="28"/>
        </w:rPr>
        <w:t>Pénin</w:t>
      </w:r>
      <w:proofErr w:type="spellEnd"/>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Burger-</w:t>
      </w:r>
      <w:proofErr w:type="spellStart"/>
      <w:r w:rsidRPr="0008291E">
        <w:rPr>
          <w:rFonts w:asciiTheme="majorBidi" w:hAnsiTheme="majorBidi" w:cstheme="majorBidi"/>
          <w:sz w:val="28"/>
          <w:szCs w:val="28"/>
        </w:rPr>
        <w:t>Helmchen</w:t>
      </w:r>
      <w:proofErr w:type="spellEnd"/>
      <w:r w:rsidRPr="0008291E">
        <w:rPr>
          <w:rFonts w:asciiTheme="majorBidi" w:hAnsiTheme="majorBidi" w:cstheme="majorBidi"/>
          <w:sz w:val="28"/>
          <w:szCs w:val="28"/>
        </w:rPr>
        <w:t>, 2011</w:t>
      </w:r>
      <w:r w:rsidRPr="0008291E">
        <w:rPr>
          <w:rFonts w:asciiTheme="majorBidi" w:hAnsiTheme="majorBidi" w:cstheme="majorBidi"/>
          <w:sz w:val="28"/>
          <w:szCs w:val="28"/>
          <w:rtl/>
        </w:rPr>
        <w:t xml:space="preserve">; </w:t>
      </w:r>
      <w:r w:rsidRPr="0008291E">
        <w:rPr>
          <w:rFonts w:asciiTheme="majorBidi" w:hAnsiTheme="majorBidi" w:cstheme="majorBidi"/>
          <w:b/>
          <w:bCs/>
          <w:sz w:val="28"/>
          <w:szCs w:val="28"/>
        </w:rPr>
        <w:t>Reichwald</w:t>
      </w:r>
      <w:r w:rsidRPr="0008291E">
        <w:rPr>
          <w:rFonts w:asciiTheme="majorBidi" w:hAnsiTheme="majorBidi" w:cstheme="majorBidi"/>
          <w:b/>
          <w:bCs/>
          <w:sz w:val="28"/>
          <w:szCs w:val="28"/>
          <w:rtl/>
        </w:rPr>
        <w:t xml:space="preserve"> &amp; </w:t>
      </w:r>
      <w:r w:rsidRPr="0008291E">
        <w:rPr>
          <w:rFonts w:asciiTheme="majorBidi" w:hAnsiTheme="majorBidi" w:cstheme="majorBidi"/>
          <w:b/>
          <w:bCs/>
          <w:sz w:val="28"/>
          <w:szCs w:val="28"/>
        </w:rPr>
        <w:t>Piller, 2006</w:t>
      </w:r>
      <w:r w:rsidRPr="0008291E">
        <w:rPr>
          <w:rFonts w:asciiTheme="majorBidi" w:hAnsiTheme="majorBidi" w:cstheme="majorBidi"/>
          <w:sz w:val="28"/>
          <w:szCs w:val="28"/>
          <w:rtl/>
        </w:rPr>
        <w:t xml:space="preserve"> </w:t>
      </w:r>
      <w:proofErr w:type="spellStart"/>
      <w:r w:rsidRPr="0008291E">
        <w:rPr>
          <w:rFonts w:asciiTheme="majorBidi" w:hAnsiTheme="majorBidi" w:cstheme="majorBidi"/>
          <w:sz w:val="28"/>
          <w:szCs w:val="28"/>
        </w:rPr>
        <w:t>Solemon</w:t>
      </w:r>
      <w:proofErr w:type="spellEnd"/>
      <w:r w:rsidRPr="0008291E">
        <w:rPr>
          <w:rFonts w:asciiTheme="majorBidi" w:hAnsiTheme="majorBidi" w:cstheme="majorBidi"/>
          <w:sz w:val="28"/>
          <w:szCs w:val="28"/>
        </w:rPr>
        <w:t xml:space="preserve"> et al., 2013; Weld et al., 2012; Zuchowski et al., 2016</w:t>
      </w:r>
      <w:r w:rsidRPr="0008291E">
        <w:rPr>
          <w:rFonts w:asciiTheme="majorBidi" w:hAnsiTheme="majorBidi" w:cstheme="majorBidi"/>
          <w:sz w:val="28"/>
          <w:szCs w:val="28"/>
          <w:rtl/>
        </w:rPr>
        <w:t>; خميس, 2020).</w:t>
      </w:r>
    </w:p>
    <w:p w14:paraId="0412847C" w14:textId="77777777" w:rsidR="00702676" w:rsidRPr="0008291E" w:rsidRDefault="00702676" w:rsidP="00A22AFB">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ويمكن تصنيف حشد المصادر أولاً </w:t>
      </w:r>
      <w:r w:rsidRPr="0008291E">
        <w:rPr>
          <w:rFonts w:asciiTheme="majorBidi" w:hAnsiTheme="majorBidi" w:cstheme="majorBidi"/>
          <w:b/>
          <w:bCs/>
          <w:sz w:val="28"/>
          <w:szCs w:val="28"/>
          <w:rtl/>
        </w:rPr>
        <w:t>من حيث المصدر</w:t>
      </w:r>
      <w:r w:rsidRPr="0008291E">
        <w:rPr>
          <w:rFonts w:asciiTheme="majorBidi" w:hAnsiTheme="majorBidi" w:cstheme="majorBidi"/>
          <w:sz w:val="28"/>
          <w:szCs w:val="28"/>
          <w:rtl/>
        </w:rPr>
        <w:t xml:space="preserve">؛ فهناك </w:t>
      </w:r>
      <w:r w:rsidRPr="0008291E">
        <w:rPr>
          <w:rFonts w:asciiTheme="majorBidi" w:hAnsiTheme="majorBidi" w:cstheme="majorBidi"/>
          <w:b/>
          <w:bCs/>
          <w:sz w:val="28"/>
          <w:szCs w:val="28"/>
          <w:rtl/>
        </w:rPr>
        <w:t>الحشد الداخلي (</w:t>
      </w:r>
      <w:r w:rsidRPr="0008291E">
        <w:rPr>
          <w:rFonts w:asciiTheme="majorBidi" w:hAnsiTheme="majorBidi" w:cstheme="majorBidi"/>
          <w:b/>
          <w:bCs/>
          <w:sz w:val="28"/>
          <w:szCs w:val="28"/>
        </w:rPr>
        <w:t>Internal Crowdsourcing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الذي يقتصر على أعضاء المؤسسة نفسها، وغالباً ما يكون محدوداً ويُنفذ بصورة تنافسية وسرية لضمان الموضوعية (</w:t>
      </w:r>
      <w:r w:rsidRPr="0008291E">
        <w:rPr>
          <w:rFonts w:asciiTheme="majorBidi" w:hAnsiTheme="majorBidi" w:cstheme="majorBidi"/>
          <w:sz w:val="28"/>
          <w:szCs w:val="28"/>
        </w:rPr>
        <w:t>Zuchowski et al., 2016</w:t>
      </w:r>
      <w:r w:rsidRPr="0008291E">
        <w:rPr>
          <w:rFonts w:asciiTheme="majorBidi" w:hAnsiTheme="majorBidi" w:cstheme="majorBidi"/>
          <w:sz w:val="28"/>
          <w:szCs w:val="28"/>
          <w:rtl/>
        </w:rPr>
        <w:t xml:space="preserve">). وعلى النقيض، يركز </w:t>
      </w:r>
      <w:r w:rsidRPr="0008291E">
        <w:rPr>
          <w:rFonts w:asciiTheme="majorBidi" w:hAnsiTheme="majorBidi" w:cstheme="majorBidi"/>
          <w:b/>
          <w:bCs/>
          <w:sz w:val="28"/>
          <w:szCs w:val="28"/>
          <w:rtl/>
        </w:rPr>
        <w:t>الحشد الخارجي (</w:t>
      </w:r>
      <w:r w:rsidRPr="0008291E">
        <w:rPr>
          <w:rFonts w:asciiTheme="majorBidi" w:hAnsiTheme="majorBidi" w:cstheme="majorBidi"/>
          <w:b/>
          <w:bCs/>
          <w:sz w:val="28"/>
          <w:szCs w:val="28"/>
        </w:rPr>
        <w:t>External Crowdsourcing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على أعضاء من خارج المؤسسة، ويعتبر حشداً مفتوحاً يعتمد على معايير كالخبرة والموضوعية للاستفادة من وجهات نظر خارجية (</w:t>
      </w:r>
      <w:r w:rsidRPr="0008291E">
        <w:rPr>
          <w:rFonts w:asciiTheme="majorBidi" w:hAnsiTheme="majorBidi" w:cstheme="majorBidi"/>
          <w:sz w:val="28"/>
          <w:szCs w:val="28"/>
        </w:rPr>
        <w:t>Howe, 2008</w:t>
      </w:r>
      <w:r w:rsidRPr="0008291E">
        <w:rPr>
          <w:rFonts w:asciiTheme="majorBidi" w:hAnsiTheme="majorBidi" w:cstheme="majorBidi"/>
          <w:sz w:val="28"/>
          <w:szCs w:val="28"/>
          <w:rtl/>
        </w:rPr>
        <w:t>).</w:t>
      </w:r>
    </w:p>
    <w:p w14:paraId="55714849" w14:textId="77777777" w:rsidR="00702676" w:rsidRPr="0008291E" w:rsidRDefault="00702676" w:rsidP="00A22AFB">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وثانياً، يُصنف الحشد </w:t>
      </w:r>
      <w:r w:rsidRPr="0008291E">
        <w:rPr>
          <w:rFonts w:asciiTheme="majorBidi" w:hAnsiTheme="majorBidi" w:cstheme="majorBidi"/>
          <w:b/>
          <w:bCs/>
          <w:sz w:val="28"/>
          <w:szCs w:val="28"/>
          <w:rtl/>
        </w:rPr>
        <w:t>من حيث نمط التفاعل</w:t>
      </w:r>
      <w:r w:rsidRPr="0008291E">
        <w:rPr>
          <w:rFonts w:asciiTheme="majorBidi" w:hAnsiTheme="majorBidi" w:cstheme="majorBidi"/>
          <w:sz w:val="28"/>
          <w:szCs w:val="28"/>
          <w:rtl/>
        </w:rPr>
        <w:t xml:space="preserve"> السائد بين المشاركين. في </w:t>
      </w:r>
      <w:r w:rsidRPr="0008291E">
        <w:rPr>
          <w:rFonts w:asciiTheme="majorBidi" w:hAnsiTheme="majorBidi" w:cstheme="majorBidi"/>
          <w:b/>
          <w:bCs/>
          <w:sz w:val="28"/>
          <w:szCs w:val="28"/>
          <w:rtl/>
        </w:rPr>
        <w:t>الحشد التنافسي (</w:t>
      </w:r>
      <w:r w:rsidRPr="0008291E">
        <w:rPr>
          <w:rFonts w:asciiTheme="majorBidi" w:hAnsiTheme="majorBidi" w:cstheme="majorBidi"/>
          <w:b/>
          <w:bCs/>
          <w:sz w:val="28"/>
          <w:szCs w:val="28"/>
        </w:rPr>
        <w:t>Competition-Based Crowdsourcing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يتنافس الأفراد بشكل مستقل لتقديم أفضل الحلول لمهمة مطروحة، ثم يتم اختيار الحل الفائز، وهو النمط الأكثر شيوعاً (</w:t>
      </w:r>
      <w:r w:rsidRPr="0008291E">
        <w:rPr>
          <w:rFonts w:asciiTheme="majorBidi" w:hAnsiTheme="majorBidi" w:cstheme="majorBidi"/>
          <w:sz w:val="28"/>
          <w:szCs w:val="28"/>
        </w:rPr>
        <w:t>Hutter et al., 2011</w:t>
      </w:r>
      <w:r w:rsidRPr="0008291E">
        <w:rPr>
          <w:rFonts w:asciiTheme="majorBidi" w:hAnsiTheme="majorBidi" w:cstheme="majorBidi"/>
          <w:sz w:val="28"/>
          <w:szCs w:val="28"/>
          <w:rtl/>
        </w:rPr>
        <w:t xml:space="preserve">). أما </w:t>
      </w:r>
      <w:r w:rsidRPr="0008291E">
        <w:rPr>
          <w:rFonts w:asciiTheme="majorBidi" w:hAnsiTheme="majorBidi" w:cstheme="majorBidi"/>
          <w:b/>
          <w:bCs/>
          <w:sz w:val="28"/>
          <w:szCs w:val="28"/>
          <w:rtl/>
        </w:rPr>
        <w:t>الحشد التشاركي (</w:t>
      </w:r>
      <w:r w:rsidRPr="0008291E">
        <w:rPr>
          <w:rFonts w:asciiTheme="majorBidi" w:hAnsiTheme="majorBidi" w:cstheme="majorBidi"/>
          <w:b/>
          <w:bCs/>
          <w:sz w:val="28"/>
          <w:szCs w:val="28"/>
        </w:rPr>
        <w:t>Collaboration-Based Crowdsourcing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فيقوم على تعاون الأفراد لإنجاز مهمة مشتركة، حيث يكمل كل فرد جزءاً من العمل لتكوين الحل الكامل، كما في منصة ويكيبيديا (</w:t>
      </w:r>
      <w:proofErr w:type="spellStart"/>
      <w:r w:rsidRPr="0008291E">
        <w:rPr>
          <w:rFonts w:asciiTheme="majorBidi" w:hAnsiTheme="majorBidi" w:cstheme="majorBidi"/>
          <w:sz w:val="28"/>
          <w:szCs w:val="28"/>
        </w:rPr>
        <w:t>Pénin</w:t>
      </w:r>
      <w:proofErr w:type="spellEnd"/>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Burger-</w:t>
      </w:r>
      <w:proofErr w:type="spellStart"/>
      <w:r w:rsidRPr="0008291E">
        <w:rPr>
          <w:rFonts w:asciiTheme="majorBidi" w:hAnsiTheme="majorBidi" w:cstheme="majorBidi"/>
          <w:sz w:val="28"/>
          <w:szCs w:val="28"/>
        </w:rPr>
        <w:t>Helmchen</w:t>
      </w:r>
      <w:proofErr w:type="spellEnd"/>
      <w:r w:rsidRPr="0008291E">
        <w:rPr>
          <w:rFonts w:asciiTheme="majorBidi" w:hAnsiTheme="majorBidi" w:cstheme="majorBidi"/>
          <w:sz w:val="28"/>
          <w:szCs w:val="28"/>
        </w:rPr>
        <w:t>, 2011</w:t>
      </w:r>
      <w:r w:rsidRPr="0008291E">
        <w:rPr>
          <w:rFonts w:asciiTheme="majorBidi" w:hAnsiTheme="majorBidi" w:cstheme="majorBidi"/>
          <w:sz w:val="28"/>
          <w:szCs w:val="28"/>
          <w:rtl/>
        </w:rPr>
        <w:t xml:space="preserve">). كما يوجد </w:t>
      </w:r>
      <w:r w:rsidRPr="0008291E">
        <w:rPr>
          <w:rFonts w:asciiTheme="majorBidi" w:hAnsiTheme="majorBidi" w:cstheme="majorBidi"/>
          <w:b/>
          <w:bCs/>
          <w:sz w:val="28"/>
          <w:szCs w:val="28"/>
          <w:rtl/>
        </w:rPr>
        <w:t>الحشد الهجين (</w:t>
      </w:r>
      <w:r w:rsidRPr="0008291E">
        <w:rPr>
          <w:rFonts w:asciiTheme="majorBidi" w:hAnsiTheme="majorBidi" w:cstheme="majorBidi"/>
          <w:b/>
          <w:bCs/>
          <w:sz w:val="28"/>
          <w:szCs w:val="28"/>
        </w:rPr>
        <w:t>Hybrid Crowdsourcing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الذي يدمج بين النمطين، حيث يتنافس الأفراد أولاً في مهام فرعية، ثم يتم تجميع أفضل الحلول بشكل تعاوني لإنجاز المهمة الرئيسية.</w:t>
      </w:r>
    </w:p>
    <w:p w14:paraId="75EEFE0B" w14:textId="77777777" w:rsidR="00702676" w:rsidRPr="0008291E" w:rsidRDefault="00702676" w:rsidP="00A22AFB">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أما </w:t>
      </w:r>
      <w:r w:rsidRPr="0008291E">
        <w:rPr>
          <w:rFonts w:asciiTheme="majorBidi" w:hAnsiTheme="majorBidi" w:cstheme="majorBidi"/>
          <w:b/>
          <w:bCs/>
          <w:sz w:val="28"/>
          <w:szCs w:val="28"/>
          <w:rtl/>
        </w:rPr>
        <w:t>من حيث نوع المهمة</w:t>
      </w:r>
      <w:r w:rsidRPr="0008291E">
        <w:rPr>
          <w:rFonts w:asciiTheme="majorBidi" w:hAnsiTheme="majorBidi" w:cstheme="majorBidi"/>
          <w:sz w:val="28"/>
          <w:szCs w:val="28"/>
          <w:rtl/>
        </w:rPr>
        <w:t xml:space="preserve">، فتتنوع أشكال حشد المصادر لتشمل مهام مختلفة؛ فمنها ما يهدف إلى توزيع المهام على مجموعة كبيرة من الأفراد ويُعرف </w:t>
      </w:r>
      <w:r w:rsidRPr="0008291E">
        <w:rPr>
          <w:rFonts w:asciiTheme="majorBidi" w:hAnsiTheme="majorBidi" w:cstheme="majorBidi"/>
          <w:b/>
          <w:bCs/>
          <w:sz w:val="28"/>
          <w:szCs w:val="28"/>
          <w:rtl/>
        </w:rPr>
        <w:t>بالبث الجماعي (</w:t>
      </w:r>
      <w:r w:rsidRPr="0008291E">
        <w:rPr>
          <w:rFonts w:asciiTheme="majorBidi" w:hAnsiTheme="majorBidi" w:cstheme="majorBidi"/>
          <w:b/>
          <w:bCs/>
          <w:sz w:val="28"/>
          <w:szCs w:val="28"/>
        </w:rPr>
        <w:t>Crowd casting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ومنها ما يركز على توليد الأفكار المبتكرة عبر مشاركة الجمهور وهو </w:t>
      </w:r>
      <w:r w:rsidRPr="0008291E">
        <w:rPr>
          <w:rFonts w:asciiTheme="majorBidi" w:hAnsiTheme="majorBidi" w:cstheme="majorBidi"/>
          <w:b/>
          <w:bCs/>
          <w:sz w:val="28"/>
          <w:szCs w:val="28"/>
          <w:rtl/>
        </w:rPr>
        <w:t>العصف الذهني (</w:t>
      </w:r>
      <w:r w:rsidRPr="0008291E">
        <w:rPr>
          <w:rFonts w:asciiTheme="majorBidi" w:hAnsiTheme="majorBidi" w:cstheme="majorBidi"/>
          <w:b/>
          <w:bCs/>
          <w:sz w:val="28"/>
          <w:szCs w:val="28"/>
        </w:rPr>
        <w:t>Crowd storming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كما يمكن أن يتخذ شكل </w:t>
      </w:r>
      <w:r w:rsidRPr="0008291E">
        <w:rPr>
          <w:rFonts w:asciiTheme="majorBidi" w:hAnsiTheme="majorBidi" w:cstheme="majorBidi"/>
          <w:b/>
          <w:bCs/>
          <w:sz w:val="28"/>
          <w:szCs w:val="28"/>
          <w:rtl/>
        </w:rPr>
        <w:t>الدعم الجماعي (</w:t>
      </w:r>
      <w:r w:rsidRPr="0008291E">
        <w:rPr>
          <w:rFonts w:asciiTheme="majorBidi" w:hAnsiTheme="majorBidi" w:cstheme="majorBidi"/>
          <w:b/>
          <w:bCs/>
          <w:sz w:val="28"/>
          <w:szCs w:val="28"/>
        </w:rPr>
        <w:t>Crowd support</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لتقديم المساعدة والمساندة، أو </w:t>
      </w:r>
      <w:r w:rsidRPr="0008291E">
        <w:rPr>
          <w:rFonts w:asciiTheme="majorBidi" w:hAnsiTheme="majorBidi" w:cstheme="majorBidi"/>
          <w:b/>
          <w:bCs/>
          <w:sz w:val="28"/>
          <w:szCs w:val="28"/>
          <w:rtl/>
        </w:rPr>
        <w:t>حشد الآراء (</w:t>
      </w:r>
      <w:r w:rsidRPr="0008291E">
        <w:rPr>
          <w:rFonts w:asciiTheme="majorBidi" w:hAnsiTheme="majorBidi" w:cstheme="majorBidi"/>
          <w:b/>
          <w:bCs/>
          <w:sz w:val="28"/>
          <w:szCs w:val="28"/>
        </w:rPr>
        <w:t>Crowd opinion</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للاستفادة من وجهات نظر متنوعة، أو </w:t>
      </w:r>
      <w:r w:rsidRPr="0008291E">
        <w:rPr>
          <w:rFonts w:asciiTheme="majorBidi" w:hAnsiTheme="majorBidi" w:cstheme="majorBidi"/>
          <w:b/>
          <w:bCs/>
          <w:sz w:val="28"/>
          <w:szCs w:val="28"/>
          <w:rtl/>
        </w:rPr>
        <w:t xml:space="preserve">حشد </w:t>
      </w:r>
      <w:r w:rsidRPr="0008291E">
        <w:rPr>
          <w:rFonts w:asciiTheme="majorBidi" w:hAnsiTheme="majorBidi" w:cstheme="majorBidi"/>
          <w:b/>
          <w:bCs/>
          <w:sz w:val="28"/>
          <w:szCs w:val="28"/>
          <w:rtl/>
        </w:rPr>
        <w:lastRenderedPageBreak/>
        <w:t>الأصوات (</w:t>
      </w:r>
      <w:r w:rsidRPr="0008291E">
        <w:rPr>
          <w:rFonts w:asciiTheme="majorBidi" w:hAnsiTheme="majorBidi" w:cstheme="majorBidi"/>
          <w:b/>
          <w:bCs/>
          <w:sz w:val="28"/>
          <w:szCs w:val="28"/>
        </w:rPr>
        <w:t>Crowd voting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لاتخاذ قرارات أو تحديد تفضيلات بناءً على تصويت الجمهور. ويُعدّ </w:t>
      </w:r>
      <w:r w:rsidRPr="0008291E">
        <w:rPr>
          <w:rFonts w:asciiTheme="majorBidi" w:hAnsiTheme="majorBidi" w:cstheme="majorBidi"/>
          <w:b/>
          <w:bCs/>
          <w:sz w:val="28"/>
          <w:szCs w:val="28"/>
          <w:rtl/>
        </w:rPr>
        <w:t>حشد المحتوى (</w:t>
      </w:r>
      <w:r w:rsidRPr="0008291E">
        <w:rPr>
          <w:rFonts w:asciiTheme="majorBidi" w:hAnsiTheme="majorBidi" w:cstheme="majorBidi"/>
          <w:b/>
          <w:bCs/>
          <w:sz w:val="28"/>
          <w:szCs w:val="28"/>
        </w:rPr>
        <w:t>Crowd content</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من الأشكال الهامة أيضاً، والذي يتضمن بدوره أنواعاً فرعية </w:t>
      </w:r>
      <w:r w:rsidRPr="0008291E">
        <w:rPr>
          <w:rFonts w:asciiTheme="majorBidi" w:hAnsiTheme="majorBidi" w:cstheme="majorBidi"/>
          <w:b/>
          <w:bCs/>
          <w:sz w:val="28"/>
          <w:szCs w:val="28"/>
          <w:rtl/>
        </w:rPr>
        <w:t>كالإنشاء المشترك (</w:t>
      </w:r>
      <w:r w:rsidRPr="0008291E">
        <w:rPr>
          <w:rFonts w:asciiTheme="majorBidi" w:hAnsiTheme="majorBidi" w:cstheme="majorBidi"/>
          <w:b/>
          <w:bCs/>
          <w:sz w:val="28"/>
          <w:szCs w:val="28"/>
        </w:rPr>
        <w:t>Crowd production</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القائم على التعاون في إنتاج المحتوى، </w:t>
      </w:r>
      <w:r w:rsidRPr="0008291E">
        <w:rPr>
          <w:rFonts w:asciiTheme="majorBidi" w:hAnsiTheme="majorBidi" w:cstheme="majorBidi"/>
          <w:b/>
          <w:bCs/>
          <w:sz w:val="28"/>
          <w:szCs w:val="28"/>
          <w:rtl/>
        </w:rPr>
        <w:t>والبحث (</w:t>
      </w:r>
      <w:r w:rsidRPr="0008291E">
        <w:rPr>
          <w:rFonts w:asciiTheme="majorBidi" w:hAnsiTheme="majorBidi" w:cstheme="majorBidi"/>
          <w:b/>
          <w:bCs/>
          <w:sz w:val="28"/>
          <w:szCs w:val="28"/>
        </w:rPr>
        <w:t>Crowd searching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لجمع المعلومات من مصادر متعددة، </w:t>
      </w:r>
      <w:r w:rsidRPr="0008291E">
        <w:rPr>
          <w:rFonts w:asciiTheme="majorBidi" w:hAnsiTheme="majorBidi" w:cstheme="majorBidi"/>
          <w:b/>
          <w:bCs/>
          <w:sz w:val="28"/>
          <w:szCs w:val="28"/>
          <w:rtl/>
        </w:rPr>
        <w:t>والتحليل (</w:t>
      </w:r>
      <w:r w:rsidRPr="0008291E">
        <w:rPr>
          <w:rFonts w:asciiTheme="majorBidi" w:hAnsiTheme="majorBidi" w:cstheme="majorBidi"/>
          <w:b/>
          <w:bCs/>
          <w:sz w:val="28"/>
          <w:szCs w:val="28"/>
        </w:rPr>
        <w:t>Crowd analyzing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الذي يهدف لدراسة البيانات والمحتوى المُجمع لاستخلاص رؤى مفيدة.</w:t>
      </w:r>
    </w:p>
    <w:p w14:paraId="6C94F0EB" w14:textId="77777777" w:rsidR="00702676" w:rsidRPr="0008291E" w:rsidRDefault="00702676" w:rsidP="00A22AFB">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وأخيراً، يمكن التمييز بين أنماط الحشد </w:t>
      </w:r>
      <w:r w:rsidRPr="0008291E">
        <w:rPr>
          <w:rFonts w:asciiTheme="majorBidi" w:hAnsiTheme="majorBidi" w:cstheme="majorBidi"/>
          <w:b/>
          <w:bCs/>
          <w:sz w:val="28"/>
          <w:szCs w:val="28"/>
          <w:rtl/>
        </w:rPr>
        <w:t>من حيث درجة التوجيه</w:t>
      </w:r>
      <w:r w:rsidRPr="0008291E">
        <w:rPr>
          <w:rFonts w:asciiTheme="majorBidi" w:hAnsiTheme="majorBidi" w:cstheme="majorBidi"/>
          <w:sz w:val="28"/>
          <w:szCs w:val="28"/>
          <w:rtl/>
        </w:rPr>
        <w:t xml:space="preserve"> المقدم للمشاركين. ففي </w:t>
      </w:r>
      <w:r w:rsidRPr="0008291E">
        <w:rPr>
          <w:rFonts w:asciiTheme="majorBidi" w:hAnsiTheme="majorBidi" w:cstheme="majorBidi"/>
          <w:b/>
          <w:bCs/>
          <w:sz w:val="28"/>
          <w:szCs w:val="28"/>
          <w:rtl/>
        </w:rPr>
        <w:t>الحشد الموجه (</w:t>
      </w:r>
      <w:r w:rsidRPr="0008291E">
        <w:rPr>
          <w:rFonts w:asciiTheme="majorBidi" w:hAnsiTheme="majorBidi" w:cstheme="majorBidi"/>
          <w:b/>
          <w:bCs/>
          <w:sz w:val="28"/>
          <w:szCs w:val="28"/>
        </w:rPr>
        <w:t>Guided Crowdsourcing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xml:space="preserve">، يتم تقديم إرشادات وخطوات واضحة لتنفيذ المهمة تحت إشراف محدد. بينما في </w:t>
      </w:r>
      <w:r w:rsidRPr="0008291E">
        <w:rPr>
          <w:rFonts w:asciiTheme="majorBidi" w:hAnsiTheme="majorBidi" w:cstheme="majorBidi"/>
          <w:b/>
          <w:bCs/>
          <w:sz w:val="28"/>
          <w:szCs w:val="28"/>
          <w:rtl/>
        </w:rPr>
        <w:t>الحشد الحر (</w:t>
      </w:r>
      <w:r w:rsidRPr="0008291E">
        <w:rPr>
          <w:rFonts w:asciiTheme="majorBidi" w:hAnsiTheme="majorBidi" w:cstheme="majorBidi"/>
          <w:b/>
          <w:bCs/>
          <w:sz w:val="28"/>
          <w:szCs w:val="28"/>
        </w:rPr>
        <w:t>Free Crowdsourcing</w:t>
      </w:r>
      <w:r w:rsidRPr="0008291E">
        <w:rPr>
          <w:rFonts w:asciiTheme="majorBidi" w:hAnsiTheme="majorBidi" w:cstheme="majorBidi"/>
          <w:b/>
          <w:bCs/>
          <w:sz w:val="28"/>
          <w:szCs w:val="28"/>
          <w:rtl/>
        </w:rPr>
        <w:t>)</w:t>
      </w:r>
      <w:r w:rsidRPr="0008291E">
        <w:rPr>
          <w:rFonts w:asciiTheme="majorBidi" w:hAnsiTheme="majorBidi" w:cstheme="majorBidi"/>
          <w:sz w:val="28"/>
          <w:szCs w:val="28"/>
          <w:rtl/>
        </w:rPr>
        <w:t>، يُترك للمشاركين حرية كاملة في كيفية تنفيذ المهمة واستخدام أساليبهم الخاصة للوصول إلى الحل، مما يشجع على الابتكار الفردي.</w:t>
      </w:r>
    </w:p>
    <w:p w14:paraId="28EB4A34" w14:textId="77777777" w:rsidR="00702676" w:rsidRPr="0008291E" w:rsidRDefault="00702676" w:rsidP="00A22AFB">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في ضوء التصنيفات السابقة، سوف يستخدم البحث الحالي نمطي </w:t>
      </w:r>
      <w:r w:rsidRPr="0008291E">
        <w:rPr>
          <w:rFonts w:asciiTheme="majorBidi" w:hAnsiTheme="majorBidi" w:cstheme="majorBidi"/>
          <w:b/>
          <w:bCs/>
          <w:sz w:val="28"/>
          <w:szCs w:val="28"/>
          <w:rtl/>
        </w:rPr>
        <w:t>الحشد التنافسي والتشاركي</w:t>
      </w:r>
      <w:r w:rsidRPr="0008291E">
        <w:rPr>
          <w:rFonts w:asciiTheme="majorBidi" w:hAnsiTheme="majorBidi" w:cstheme="majorBidi"/>
          <w:sz w:val="28"/>
          <w:szCs w:val="28"/>
          <w:rtl/>
        </w:rPr>
        <w:t xml:space="preserve"> (التصنيف حسب نمط التفاعل) لتعزيز التفاعل في بيئة التعلم الإلكتروني. ويأتي هذا الاختيار بناءً على ما يوفره كل نمط؛ حيث يُتوقع أن يحفز الحشد التنافسي الابتكار وتطوير المهارات الفردية من خلال السعي لتقديم أفضل الحلول، بينما يُنتظر أن يعزز الحشد التشاركي التعاون وتبادل المعرفة وبناء فهم مشترك من خلال تجميع المساهمات الجزئية. وكلاهما، بطرق مختلفة، يسهم في زيادة انخراط الطلاب وتفاعلهم مع المحتوى ومع بعضهم البعض، وهو ما يهدف البحث إلى دراسته وتحسينه. وفيما يلي توضيحٌ مفصل لهذين النمطين المعتمدين في الدراسة.</w:t>
      </w:r>
    </w:p>
    <w:p w14:paraId="07EAF608" w14:textId="36164268" w:rsidR="00F918E8" w:rsidRPr="0008291E" w:rsidRDefault="00A22AFB" w:rsidP="00A22AFB">
      <w:pPr>
        <w:pStyle w:val="Heading2"/>
        <w:bidi/>
        <w:rPr>
          <w:rFonts w:asciiTheme="majorBidi" w:hAnsiTheme="majorBidi"/>
          <w:rtl/>
        </w:rPr>
      </w:pPr>
      <w:r w:rsidRPr="0008291E">
        <w:rPr>
          <w:rFonts w:asciiTheme="majorBidi" w:hAnsiTheme="majorBidi"/>
          <w:rtl/>
        </w:rPr>
        <w:t>حشد المصادر التشاركي:</w:t>
      </w:r>
    </w:p>
    <w:p w14:paraId="4F4C7FC6" w14:textId="6CCEA63E" w:rsidR="00A22AFB" w:rsidRPr="0008291E" w:rsidRDefault="00A22AFB" w:rsidP="00A22AFB">
      <w:pPr>
        <w:pStyle w:val="Heading3"/>
        <w:bidi/>
        <w:rPr>
          <w:rFonts w:asciiTheme="majorBidi" w:hAnsiTheme="majorBidi"/>
          <w:rtl/>
        </w:rPr>
      </w:pPr>
      <w:r w:rsidRPr="0008291E">
        <w:rPr>
          <w:rFonts w:asciiTheme="majorBidi" w:hAnsiTheme="majorBidi"/>
          <w:rtl/>
        </w:rPr>
        <w:t>مفهوم حشد المصادر التشاركي:</w:t>
      </w:r>
    </w:p>
    <w:p w14:paraId="1457D5C7" w14:textId="77777777" w:rsidR="00937F6A" w:rsidRPr="00011B4C" w:rsidRDefault="00937F6A" w:rsidP="00937F6A">
      <w:pPr>
        <w:bidi/>
        <w:rPr>
          <w:rFonts w:asciiTheme="majorBidi" w:hAnsiTheme="majorBidi" w:cstheme="majorBidi"/>
          <w:sz w:val="28"/>
          <w:szCs w:val="28"/>
        </w:rPr>
      </w:pPr>
      <w:r w:rsidRPr="00011B4C">
        <w:rPr>
          <w:rFonts w:asciiTheme="majorBidi" w:hAnsiTheme="majorBidi" w:cstheme="majorBidi"/>
          <w:sz w:val="28"/>
          <w:szCs w:val="28"/>
          <w:rtl/>
        </w:rPr>
        <w:t xml:space="preserve">يُعرف نمط </w:t>
      </w:r>
      <w:r w:rsidRPr="00011B4C">
        <w:rPr>
          <w:rFonts w:asciiTheme="majorBidi" w:hAnsiTheme="majorBidi" w:cstheme="majorBidi"/>
          <w:b/>
          <w:bCs/>
          <w:sz w:val="28"/>
          <w:szCs w:val="28"/>
          <w:rtl/>
        </w:rPr>
        <w:t>حشد المصادر الإلكترونية التشاركي</w:t>
      </w:r>
      <w:r w:rsidRPr="00011B4C">
        <w:rPr>
          <w:rFonts w:asciiTheme="majorBidi" w:hAnsiTheme="majorBidi" w:cstheme="majorBidi"/>
          <w:sz w:val="28"/>
          <w:szCs w:val="28"/>
          <w:rtl/>
        </w:rPr>
        <w:t xml:space="preserve"> بأنه أحد أنماط حشد المصادر، حيث يتشارك المتعلمون في إنجاز مهمة تعليمية، ويقوم كل متعلم من أفراد مجتمع الحشد بإنجاز أحد مكونات المهمة التعليمية المطلوب إنجازها، ثم تُجمع هذه المكونات الفرعية معًا لتشكيل المهمة الرئيسية (خميس، 2020، ص 424)</w:t>
      </w:r>
      <w:r w:rsidRPr="00011B4C">
        <w:rPr>
          <w:rFonts w:asciiTheme="majorBidi" w:hAnsiTheme="majorBidi" w:cstheme="majorBidi"/>
          <w:sz w:val="28"/>
          <w:szCs w:val="28"/>
        </w:rPr>
        <w:t>.</w:t>
      </w:r>
    </w:p>
    <w:p w14:paraId="08B0E413" w14:textId="77777777" w:rsidR="00937F6A" w:rsidRPr="00011B4C" w:rsidRDefault="00937F6A" w:rsidP="00937F6A">
      <w:pPr>
        <w:bidi/>
        <w:rPr>
          <w:rFonts w:asciiTheme="majorBidi" w:hAnsiTheme="majorBidi" w:cstheme="majorBidi"/>
          <w:sz w:val="28"/>
          <w:szCs w:val="28"/>
        </w:rPr>
      </w:pPr>
      <w:r w:rsidRPr="00011B4C">
        <w:rPr>
          <w:rFonts w:asciiTheme="majorBidi" w:hAnsiTheme="majorBidi" w:cstheme="majorBidi"/>
          <w:sz w:val="28"/>
          <w:szCs w:val="28"/>
          <w:rtl/>
        </w:rPr>
        <w:t xml:space="preserve">وقد عرّفه حجازي والعطار (2024، ص 331) بأنه مجموعة من الأنشطة والإجراءات التعليمية المحددة التي يقوم بها مجتمع الحشد في بيئة تعليم إلكترونية مثل </w:t>
      </w:r>
      <w:r w:rsidRPr="00011B4C">
        <w:rPr>
          <w:rFonts w:asciiTheme="majorBidi" w:hAnsiTheme="majorBidi" w:cstheme="majorBidi"/>
          <w:i/>
          <w:iCs/>
          <w:sz w:val="28"/>
          <w:szCs w:val="28"/>
        </w:rPr>
        <w:t>Microsoft Viva Engage</w:t>
      </w:r>
      <w:r w:rsidRPr="00011B4C">
        <w:rPr>
          <w:rFonts w:asciiTheme="majorBidi" w:hAnsiTheme="majorBidi" w:cstheme="majorBidi"/>
          <w:sz w:val="28"/>
          <w:szCs w:val="28"/>
        </w:rPr>
        <w:t xml:space="preserve"> </w:t>
      </w:r>
      <w:r w:rsidRPr="00011B4C">
        <w:rPr>
          <w:rFonts w:asciiTheme="majorBidi" w:hAnsiTheme="majorBidi" w:cstheme="majorBidi"/>
          <w:sz w:val="28"/>
          <w:szCs w:val="28"/>
          <w:rtl/>
        </w:rPr>
        <w:t>لتنفيذ مهمات محددة للمشروعات التعليمية، حيث يقوم كل فرد داخل مجموعة التعلم التشاركية بإنجاز أحد مكونات المهمة المطلوب إنجازها، ثم يتم تجميع المكونات الفرعية معًا لتشكيل المهمة الرئيسية، ويسعى أعضاء المجموعة الواحدة إلى التفوق في حل هذه المهام بالتتابع والتسلسل والإجراءات المحددة، ويتم تقويم المجموعات التشاركية بهدف الوصول إلى أفضل مجموعة في إنجاز المهام المحددة للحصول على المكافأة التي تعزز أدائهم لدى مجتمع الحشد التشاركي</w:t>
      </w:r>
      <w:r w:rsidRPr="00011B4C">
        <w:rPr>
          <w:rFonts w:asciiTheme="majorBidi" w:hAnsiTheme="majorBidi" w:cstheme="majorBidi"/>
          <w:sz w:val="28"/>
          <w:szCs w:val="28"/>
        </w:rPr>
        <w:t>.</w:t>
      </w:r>
    </w:p>
    <w:p w14:paraId="052A69E6" w14:textId="77777777" w:rsidR="00937F6A" w:rsidRPr="00011B4C" w:rsidRDefault="00937F6A" w:rsidP="00937F6A">
      <w:pPr>
        <w:bidi/>
        <w:rPr>
          <w:rFonts w:asciiTheme="majorBidi" w:hAnsiTheme="majorBidi" w:cstheme="majorBidi"/>
          <w:sz w:val="28"/>
          <w:szCs w:val="28"/>
        </w:rPr>
      </w:pPr>
      <w:r w:rsidRPr="00011B4C">
        <w:rPr>
          <w:rFonts w:asciiTheme="majorBidi" w:hAnsiTheme="majorBidi" w:cstheme="majorBidi"/>
          <w:sz w:val="28"/>
          <w:szCs w:val="28"/>
          <w:rtl/>
        </w:rPr>
        <w:t xml:space="preserve">وقد عرّفه عمار (2023، ص 154) بأنه نشاط يعتمد على التعاون والتشارك بين أعضاء الفريق الواحد في إنجاز المهمة والنشاط المطلوب لحشد المصادر، بحيث يقوم كل طالب بإنجاز أحد أجزاء المهمة المطلوبة، ثم </w:t>
      </w:r>
      <w:r w:rsidRPr="00011B4C">
        <w:rPr>
          <w:rFonts w:asciiTheme="majorBidi" w:hAnsiTheme="majorBidi" w:cstheme="majorBidi"/>
          <w:sz w:val="28"/>
          <w:szCs w:val="28"/>
          <w:rtl/>
        </w:rPr>
        <w:lastRenderedPageBreak/>
        <w:t>تُجمع المكونات الفرعية معًا لتشكيل المهمة الرئيسية، ومن ثم يتحقق تفوق إحدى المجموعات على المجموعات الأخرى، وتسعى كل مجموعة للحصول على المكافآت والشارات التي تعزز من أدائها</w:t>
      </w:r>
      <w:r w:rsidRPr="00011B4C">
        <w:rPr>
          <w:rFonts w:asciiTheme="majorBidi" w:hAnsiTheme="majorBidi" w:cstheme="majorBidi"/>
          <w:sz w:val="28"/>
          <w:szCs w:val="28"/>
        </w:rPr>
        <w:t>.</w:t>
      </w:r>
    </w:p>
    <w:p w14:paraId="472D4A7C" w14:textId="77777777" w:rsidR="00937F6A" w:rsidRPr="00011B4C" w:rsidRDefault="00937F6A" w:rsidP="00937F6A">
      <w:pPr>
        <w:bidi/>
        <w:rPr>
          <w:rFonts w:asciiTheme="majorBidi" w:hAnsiTheme="majorBidi" w:cstheme="majorBidi"/>
          <w:sz w:val="28"/>
          <w:szCs w:val="28"/>
        </w:rPr>
      </w:pPr>
      <w:r w:rsidRPr="00011B4C">
        <w:rPr>
          <w:rFonts w:asciiTheme="majorBidi" w:hAnsiTheme="majorBidi" w:cstheme="majorBidi"/>
          <w:sz w:val="28"/>
          <w:szCs w:val="28"/>
          <w:rtl/>
        </w:rPr>
        <w:t xml:space="preserve">وقد عرّفه المعتصم (2024، ص 88) بأنه مجموعة من الأنشطة والإجراءات التعليمية المحددة التي يقوم بها مجتمع الحشد من الطالبات المعلمات في بيئة التعلم الاجتماعي عبر الويب </w:t>
      </w:r>
      <w:r w:rsidRPr="00011B4C">
        <w:rPr>
          <w:rFonts w:asciiTheme="majorBidi" w:hAnsiTheme="majorBidi" w:cstheme="majorBidi"/>
          <w:i/>
          <w:iCs/>
          <w:sz w:val="28"/>
          <w:szCs w:val="28"/>
        </w:rPr>
        <w:t>Yammer</w:t>
      </w:r>
      <w:r w:rsidRPr="00011B4C">
        <w:rPr>
          <w:rFonts w:asciiTheme="majorBidi" w:hAnsiTheme="majorBidi" w:cstheme="majorBidi"/>
          <w:sz w:val="28"/>
          <w:szCs w:val="28"/>
        </w:rPr>
        <w:t xml:space="preserve"> </w:t>
      </w:r>
      <w:r w:rsidRPr="00011B4C">
        <w:rPr>
          <w:rFonts w:asciiTheme="majorBidi" w:hAnsiTheme="majorBidi" w:cstheme="majorBidi"/>
          <w:sz w:val="28"/>
          <w:szCs w:val="28"/>
          <w:rtl/>
        </w:rPr>
        <w:t>في تنفيذ مهام محددة للمشروعات التعليمية، حيث تقوم كل طالبة داخل المجموعة التشاركية بإنجاز أحد مكونات المهمة المطلوب إنجازها، ثم يتم تجميع المكونات الفرعية معًا لتشكيل المهمة الرئيسية، ويسعى أعضاء المجموعة الواحدة إلى التفوق في حل هذه المهام بالتتابع والتسلسل، وفقًا للإجراءات المحددة والاستراتيجية المقترحة، ويتم تقويم المجموعات التشاركية بهدف الوصول إلى أفضل مجموعة في إنجاز المهام المحددة للحصول على المكافأة التي تعزز من أدائهم لدى مجتمع الحشد التشاركي</w:t>
      </w:r>
      <w:r w:rsidRPr="00011B4C">
        <w:rPr>
          <w:rFonts w:asciiTheme="majorBidi" w:hAnsiTheme="majorBidi" w:cstheme="majorBidi"/>
          <w:sz w:val="28"/>
          <w:szCs w:val="28"/>
        </w:rPr>
        <w:t>.</w:t>
      </w:r>
    </w:p>
    <w:p w14:paraId="194197A8" w14:textId="77777777" w:rsidR="00937F6A" w:rsidRPr="0008291E" w:rsidRDefault="00937F6A" w:rsidP="00937F6A">
      <w:pPr>
        <w:bidi/>
        <w:rPr>
          <w:rFonts w:asciiTheme="majorBidi" w:hAnsiTheme="majorBidi" w:cstheme="majorBidi"/>
          <w:rtl/>
        </w:rPr>
      </w:pPr>
    </w:p>
    <w:p w14:paraId="22C8FE02" w14:textId="77777777" w:rsidR="00A22AFB" w:rsidRPr="0008291E" w:rsidRDefault="00A22AFB" w:rsidP="00A22AFB">
      <w:pPr>
        <w:pStyle w:val="Heading3"/>
        <w:bidi/>
        <w:rPr>
          <w:rFonts w:asciiTheme="majorBidi" w:hAnsiTheme="majorBidi"/>
        </w:rPr>
      </w:pPr>
      <w:r w:rsidRPr="0008291E">
        <w:rPr>
          <w:rFonts w:asciiTheme="majorBidi" w:hAnsiTheme="majorBidi"/>
          <w:rtl/>
        </w:rPr>
        <w:t>مزايا حشد المصادر التشاركي:</w:t>
      </w:r>
    </w:p>
    <w:p w14:paraId="13C560E1" w14:textId="77777777" w:rsidR="00A22AFB" w:rsidRPr="0008291E" w:rsidRDefault="00A22AFB" w:rsidP="00B129B9">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تناولت دراسات حديثة عدة مزايا لحشد المصادر التشاركي وتطبيقاته في سياقات متنوعة (أباصيري, 2024; حجازي والعطار, 2024; </w:t>
      </w:r>
      <w:r w:rsidRPr="0008291E">
        <w:rPr>
          <w:rFonts w:asciiTheme="majorBidi" w:hAnsiTheme="majorBidi" w:cstheme="majorBidi"/>
          <w:sz w:val="28"/>
          <w:szCs w:val="28"/>
        </w:rPr>
        <w:t>Lewandowska-</w:t>
      </w:r>
      <w:proofErr w:type="spellStart"/>
      <w:r w:rsidRPr="0008291E">
        <w:rPr>
          <w:rFonts w:asciiTheme="majorBidi" w:hAnsiTheme="majorBidi" w:cstheme="majorBidi"/>
          <w:sz w:val="28"/>
          <w:szCs w:val="28"/>
        </w:rPr>
        <w:t>Tomaszczyk</w:t>
      </w:r>
      <w:proofErr w:type="spellEnd"/>
      <w:r w:rsidRPr="0008291E">
        <w:rPr>
          <w:rFonts w:asciiTheme="majorBidi" w:hAnsiTheme="majorBidi" w:cstheme="majorBidi"/>
          <w:sz w:val="28"/>
          <w:szCs w:val="28"/>
        </w:rPr>
        <w:t>, 2023; Mateo et al., 2021</w:t>
      </w:r>
      <w:r w:rsidRPr="0008291E">
        <w:rPr>
          <w:rFonts w:asciiTheme="majorBidi" w:hAnsiTheme="majorBidi" w:cstheme="majorBidi"/>
          <w:sz w:val="28"/>
          <w:szCs w:val="28"/>
          <w:rtl/>
        </w:rPr>
        <w:t xml:space="preserve">; المعتصم, 2024; </w:t>
      </w:r>
      <w:r w:rsidRPr="0008291E">
        <w:rPr>
          <w:rFonts w:asciiTheme="majorBidi" w:hAnsiTheme="majorBidi" w:cstheme="majorBidi"/>
          <w:sz w:val="28"/>
          <w:szCs w:val="28"/>
        </w:rPr>
        <w:t>Sun et al., 2018, p. 273</w:t>
      </w:r>
      <w:r w:rsidRPr="0008291E">
        <w:rPr>
          <w:rFonts w:asciiTheme="majorBidi" w:hAnsiTheme="majorBidi" w:cstheme="majorBidi"/>
          <w:sz w:val="28"/>
          <w:szCs w:val="28"/>
          <w:rtl/>
        </w:rPr>
        <w:t xml:space="preserve">; وهبه, 2024; </w:t>
      </w:r>
      <w:proofErr w:type="spellStart"/>
      <w:r w:rsidRPr="0008291E">
        <w:rPr>
          <w:rFonts w:asciiTheme="majorBidi" w:hAnsiTheme="majorBidi" w:cstheme="majorBidi"/>
          <w:sz w:val="28"/>
          <w:szCs w:val="28"/>
        </w:rPr>
        <w:t>Zahirovi</w:t>
      </w:r>
      <w:proofErr w:type="spellEnd"/>
      <w:r w:rsidRPr="0008291E">
        <w:rPr>
          <w:rFonts w:asciiTheme="majorBidi" w:hAnsiTheme="majorBidi" w:cstheme="majorBidi"/>
          <w:sz w:val="28"/>
          <w:szCs w:val="28"/>
        </w:rPr>
        <w:t xml:space="preserve"> et al., 2019, p. 73</w:t>
      </w:r>
      <w:r w:rsidRPr="0008291E">
        <w:rPr>
          <w:rFonts w:asciiTheme="majorBidi" w:hAnsiTheme="majorBidi" w:cstheme="majorBidi"/>
          <w:sz w:val="28"/>
          <w:szCs w:val="28"/>
          <w:rtl/>
        </w:rPr>
        <w:t>).</w:t>
      </w:r>
    </w:p>
    <w:p w14:paraId="16225C86" w14:textId="77777777" w:rsidR="00A22AFB" w:rsidRPr="0008291E" w:rsidRDefault="00A22AFB" w:rsidP="00B129B9">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وبناءً على استعراض هذه الأدبيات، يمكن إبراز المزايا التالية لحشد المصادر التشاركي في السياقات التعليمية:</w:t>
      </w:r>
    </w:p>
    <w:p w14:paraId="3F4450C7" w14:textId="77777777" w:rsidR="00A22AFB" w:rsidRPr="0008291E" w:rsidRDefault="00A22AFB" w:rsidP="00B129B9">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يساهم حشد المصادر التشاركي في تحسين جودة العملية التعليمية ومخرجاتها. يتحقق ذلك من خلال استثمار آراء ومهارات مجموعة كبيرة من الأفراد، مما يؤدي إلى إنتاج محتوى تعليمي أكثر ثراءً وفعالية. في هذا السياق، يسهل النمط التشاركي حل المشكلات الجماعية عبر تفعيل "الذكاء الجماعي"، ويتيح الاستفادة من التغذية الراجعة لتخصيص الموارد بكفاءة. كذلك، فإنه يعزز التعاون بين المعلمين من خلال تمكينهم من تبادل الخطط الدراسية والممارسات التربوية، ويسهم في تطوير التدريس عبر آليات تقييم الأقران. إضافةً إلى ذلك، يتيح النمط التشاركي تصميم تعلم أكثر استجابة لاحتياجات المتعلمين عبر إشراكهم في تطوير المناهج، مما يقود نحو بيئة تعليمية تفاعلية وأكثر تكيفًا مع التحديات.</w:t>
      </w:r>
    </w:p>
    <w:p w14:paraId="3ADBC2CD" w14:textId="77777777" w:rsidR="00A22AFB" w:rsidRPr="0008291E" w:rsidRDefault="00A22AFB" w:rsidP="00B129B9">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وإلى جانب هذه التأثيرات المباشرة على جودة العملية التعليمية، يمتد أثر النمط التشاركي ليشمل تعزيز التفاعل الاجتماعي وتحفيز الابتكار. فهو يقوي الروابط الاجتماعية بين أفراد المجموعة من خلال تشجيع تبادل الخبرات والآراء واتخاذ القرارات بشكل جماعي، مع أهمية الالتزام بالمعايير الأخلاقية. كما يساهم هذا النمط في تحفيز الابتكار؛ حيث إن تقسيم المشكلات المعقدة إلى مهام صغيرة يتم حلها بالتعاون يولد بيئة خصبة لتبادل الأفكار وتكاملها، مما يعزز الذكاء الجماعي والتفكير الإبداعي. علاوة على ذلك، يساعد حشد المصادر التشاركي في جمع البيانات وتحليلها بكفاءة للوصول </w:t>
      </w:r>
      <w:r w:rsidRPr="0008291E">
        <w:rPr>
          <w:rFonts w:asciiTheme="majorBidi" w:hAnsiTheme="majorBidi" w:cstheme="majorBidi"/>
          <w:sz w:val="28"/>
          <w:szCs w:val="28"/>
          <w:rtl/>
        </w:rPr>
        <w:lastRenderedPageBreak/>
        <w:t>إلى حلول تعليمية عملية، مما يجعل استراتيجيات التعلم القائم على المشروعات وحل المشكلات أكثر فعالية، ويثري العملية التعليمية ككل من خلال تعزيز التعاون والاعتماد المتبادل بين المتعلمين.</w:t>
      </w:r>
    </w:p>
    <w:p w14:paraId="1BCD0A84" w14:textId="77777777" w:rsidR="00A22AFB" w:rsidRPr="0008291E" w:rsidRDefault="00A22AFB" w:rsidP="00B129B9">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ومن المميزات الهامة لحشد المصادر التشاركي تحمل كل عضو في المجموعة مسؤولية إنجاز المهام التعليمية المحددة له. يتطلب ذلك تفاعلاً إيجابيًا مع باقي أعضاء المجموعة وتنسيق الجهود لتحقيق الهدف الجماعي. بينما يرى البعض أن هذا التعاون والتنسيق المعرفي بين أنشطة مجتمع الحشد يساهم في عملية إنتاج معرفة جديدة ومشتركة، حيث يعمل الأفراد معًا ويقدمون تغذية راجعة لبعضهم البعض من أجل الوصول إلى حلول تشاركية.</w:t>
      </w:r>
    </w:p>
    <w:p w14:paraId="1BB11A49" w14:textId="77777777" w:rsidR="008968A9" w:rsidRPr="008968A9" w:rsidRDefault="008968A9" w:rsidP="008968A9">
      <w:pPr>
        <w:bidi/>
        <w:rPr>
          <w:highlight w:val="green"/>
          <w:rtl/>
        </w:rPr>
      </w:pPr>
    </w:p>
    <w:p w14:paraId="4714B727" w14:textId="77777777" w:rsidR="00593080" w:rsidRPr="003E439A" w:rsidRDefault="00593080" w:rsidP="00593080">
      <w:pPr>
        <w:bidi/>
        <w:ind w:left="720" w:firstLine="720"/>
        <w:jc w:val="both"/>
        <w:rPr>
          <w:rFonts w:asciiTheme="majorBidi" w:hAnsiTheme="majorBidi" w:cstheme="majorBidi"/>
          <w:sz w:val="28"/>
          <w:szCs w:val="28"/>
          <w:rtl/>
        </w:rPr>
      </w:pPr>
    </w:p>
    <w:p w14:paraId="576F4D16" w14:textId="77777777" w:rsidR="00122409" w:rsidRPr="0008291E" w:rsidRDefault="00122409" w:rsidP="00417A7B">
      <w:pPr>
        <w:pStyle w:val="Heading3"/>
        <w:bidi/>
        <w:rPr>
          <w:rFonts w:asciiTheme="majorBidi" w:hAnsiTheme="majorBidi"/>
        </w:rPr>
      </w:pPr>
      <w:r w:rsidRPr="0008291E">
        <w:rPr>
          <w:rFonts w:asciiTheme="majorBidi" w:hAnsiTheme="majorBidi"/>
          <w:rtl/>
        </w:rPr>
        <w:t>مفهوم حشد المصادر التنافسي</w:t>
      </w:r>
    </w:p>
    <w:p w14:paraId="0A7957DA" w14:textId="43217BD6" w:rsidR="00D51A4C" w:rsidRPr="00D51A4C" w:rsidRDefault="00D51A4C" w:rsidP="00D51A4C">
      <w:pPr>
        <w:bidi/>
        <w:ind w:left="720" w:firstLine="720"/>
        <w:jc w:val="both"/>
        <w:rPr>
          <w:rFonts w:asciiTheme="majorBidi" w:hAnsiTheme="majorBidi" w:cstheme="majorBidi"/>
          <w:sz w:val="28"/>
          <w:szCs w:val="28"/>
        </w:rPr>
      </w:pPr>
      <w:r w:rsidRPr="00D51A4C">
        <w:rPr>
          <w:rFonts w:asciiTheme="majorBidi" w:hAnsiTheme="majorBidi" w:cstheme="majorBidi"/>
          <w:sz w:val="28"/>
          <w:szCs w:val="28"/>
        </w:rPr>
        <w:t xml:space="preserve">  </w:t>
      </w:r>
      <w:r w:rsidRPr="00D51A4C">
        <w:rPr>
          <w:rFonts w:asciiTheme="majorBidi" w:hAnsiTheme="majorBidi" w:cstheme="majorBidi"/>
          <w:sz w:val="28"/>
          <w:szCs w:val="28"/>
          <w:rtl/>
        </w:rPr>
        <w:t xml:space="preserve">يُعرفه </w:t>
      </w:r>
      <w:r w:rsidRPr="00D51A4C">
        <w:rPr>
          <w:rFonts w:asciiTheme="majorBidi" w:hAnsiTheme="majorBidi" w:cstheme="majorBidi"/>
          <w:b/>
          <w:bCs/>
          <w:sz w:val="28"/>
          <w:szCs w:val="28"/>
          <w:rtl/>
        </w:rPr>
        <w:t>محمد عطية خميس (٢٠٢٠، ص ٤٢٤)</w:t>
      </w:r>
      <w:r w:rsidRPr="00D51A4C">
        <w:rPr>
          <w:rFonts w:asciiTheme="majorBidi" w:hAnsiTheme="majorBidi" w:cstheme="majorBidi"/>
          <w:sz w:val="28"/>
          <w:szCs w:val="28"/>
          <w:rtl/>
        </w:rPr>
        <w:t xml:space="preserve"> بأنه النمط الذي يتنافس فيه المشاركون لإنجاز مهمة محددة، حيث يقوم كل مشارك بإيجاد حل للمشكلة بشكل مستقل عن باقي الأفراد، مما ينتج عنه العديد من الحلول الممكنة. بعد ذلك، يتم تقويم هذه الحلول واختيار أفضلها، وبذلك يتحدد الفائز بالمسابقة، ويُطلق على هذا النمط أيضًا "حشد المسابقات"، ويُعد من الأنماط الشائعة الاستخدام</w:t>
      </w:r>
      <w:r w:rsidRPr="00D51A4C">
        <w:rPr>
          <w:rFonts w:asciiTheme="majorBidi" w:hAnsiTheme="majorBidi" w:cstheme="majorBidi"/>
          <w:sz w:val="28"/>
          <w:szCs w:val="28"/>
        </w:rPr>
        <w:t xml:space="preserve">. </w:t>
      </w:r>
    </w:p>
    <w:p w14:paraId="6C2BF207" w14:textId="564FA4BB" w:rsidR="00D51A4C" w:rsidRPr="00D51A4C" w:rsidRDefault="00D51A4C" w:rsidP="00D51A4C">
      <w:pPr>
        <w:bidi/>
        <w:ind w:left="720" w:firstLine="720"/>
        <w:jc w:val="both"/>
        <w:rPr>
          <w:rFonts w:asciiTheme="majorBidi" w:hAnsiTheme="majorBidi" w:cstheme="majorBidi"/>
          <w:sz w:val="28"/>
          <w:szCs w:val="28"/>
        </w:rPr>
      </w:pPr>
      <w:r w:rsidRPr="00D51A4C">
        <w:rPr>
          <w:rFonts w:asciiTheme="majorBidi" w:hAnsiTheme="majorBidi" w:cstheme="majorBidi"/>
          <w:sz w:val="28"/>
          <w:szCs w:val="28"/>
          <w:rtl/>
        </w:rPr>
        <w:t xml:space="preserve">عرفه </w:t>
      </w:r>
      <w:r w:rsidRPr="00D51A4C">
        <w:rPr>
          <w:rFonts w:asciiTheme="majorBidi" w:hAnsiTheme="majorBidi" w:cstheme="majorBidi"/>
          <w:b/>
          <w:bCs/>
          <w:sz w:val="28"/>
          <w:szCs w:val="28"/>
          <w:rtl/>
        </w:rPr>
        <w:t>نبيل السيد (٢٠٢١، ص ٢٦١)</w:t>
      </w:r>
      <w:r w:rsidRPr="00D51A4C">
        <w:rPr>
          <w:rFonts w:asciiTheme="majorBidi" w:hAnsiTheme="majorBidi" w:cstheme="majorBidi"/>
          <w:sz w:val="28"/>
          <w:szCs w:val="28"/>
          <w:rtl/>
        </w:rPr>
        <w:t xml:space="preserve"> بأنه نشاط تعليمي يتنافس فيه طلاب الدراسات العليا المشاركون في إنجاز المهام المطلوبة. يقوم كل طالب في هذا النشاط بحشد المصادر المناسبة لإنجاز المهمة بشكل مستقل عن الطلاب الآخرين، مما يوفر حلولاً متعددة. ثم يتم تقويم جميع الحلول المقدمة من الطلاب لتحديد واختيار أفضلها</w:t>
      </w:r>
      <w:r w:rsidRPr="00D51A4C">
        <w:rPr>
          <w:rFonts w:asciiTheme="majorBidi" w:hAnsiTheme="majorBidi" w:cstheme="majorBidi"/>
          <w:sz w:val="28"/>
          <w:szCs w:val="28"/>
        </w:rPr>
        <w:t xml:space="preserve">. </w:t>
      </w:r>
    </w:p>
    <w:p w14:paraId="6CF0DA58" w14:textId="486F8FF2" w:rsidR="00D51A4C" w:rsidRPr="00D51A4C" w:rsidRDefault="00D51A4C" w:rsidP="00D51A4C">
      <w:pPr>
        <w:bidi/>
        <w:ind w:left="720" w:firstLine="720"/>
        <w:jc w:val="both"/>
        <w:rPr>
          <w:rFonts w:asciiTheme="majorBidi" w:hAnsiTheme="majorBidi" w:cstheme="majorBidi"/>
          <w:sz w:val="28"/>
          <w:szCs w:val="28"/>
        </w:rPr>
      </w:pPr>
      <w:r w:rsidRPr="00D51A4C">
        <w:rPr>
          <w:rFonts w:asciiTheme="majorBidi" w:hAnsiTheme="majorBidi" w:cstheme="majorBidi"/>
          <w:sz w:val="28"/>
          <w:szCs w:val="28"/>
          <w:rtl/>
        </w:rPr>
        <w:t xml:space="preserve">بينما تُعرفه </w:t>
      </w:r>
      <w:r w:rsidRPr="00D51A4C">
        <w:rPr>
          <w:rFonts w:asciiTheme="majorBidi" w:hAnsiTheme="majorBidi" w:cstheme="majorBidi"/>
          <w:b/>
          <w:bCs/>
          <w:sz w:val="28"/>
          <w:szCs w:val="28"/>
          <w:rtl/>
        </w:rPr>
        <w:t>حنان عمار (٢٠٢٣، ص ١٥٤)</w:t>
      </w:r>
      <w:r w:rsidRPr="00D51A4C">
        <w:rPr>
          <w:rFonts w:asciiTheme="majorBidi" w:hAnsiTheme="majorBidi" w:cstheme="majorBidi"/>
          <w:sz w:val="28"/>
          <w:szCs w:val="28"/>
          <w:rtl/>
        </w:rPr>
        <w:t xml:space="preserve"> بأنه نشاط تعليمي يتنافس فيه الطلاب، ويبذل فيه الفرد أقصى جهده بهدف تحقيق أعلى مستوى أداء في المهمة المطلوبة بصورة فردية، وذلك عبر حشد المصادر اللازمة. ويسعى كل طالب في هذا النمط للتفوق على زملائه في مجموعة حشد المصادر التنافسية، كما يسعى للحصول على المكافآت التي تعزز أداءه</w:t>
      </w:r>
      <w:r w:rsidRPr="00D51A4C">
        <w:rPr>
          <w:rFonts w:asciiTheme="majorBidi" w:hAnsiTheme="majorBidi" w:cstheme="majorBidi"/>
          <w:sz w:val="28"/>
          <w:szCs w:val="28"/>
        </w:rPr>
        <w:t xml:space="preserve">. </w:t>
      </w:r>
    </w:p>
    <w:p w14:paraId="5F621B75" w14:textId="33F5283A" w:rsidR="006473C1" w:rsidRPr="00D51A4C" w:rsidRDefault="00D51A4C" w:rsidP="00D51A4C">
      <w:pPr>
        <w:bidi/>
        <w:ind w:left="720" w:firstLine="720"/>
        <w:jc w:val="both"/>
        <w:rPr>
          <w:rFonts w:asciiTheme="majorBidi" w:hAnsiTheme="majorBidi" w:cstheme="majorBidi"/>
          <w:sz w:val="28"/>
          <w:szCs w:val="28"/>
          <w:rtl/>
        </w:rPr>
      </w:pPr>
      <w:r w:rsidRPr="00D51A4C">
        <w:rPr>
          <w:rFonts w:asciiTheme="majorBidi" w:hAnsiTheme="majorBidi" w:cstheme="majorBidi"/>
          <w:sz w:val="28"/>
          <w:szCs w:val="28"/>
          <w:rtl/>
        </w:rPr>
        <w:t xml:space="preserve">ويضيف </w:t>
      </w:r>
      <w:r w:rsidRPr="00D51A4C">
        <w:rPr>
          <w:rFonts w:asciiTheme="majorBidi" w:hAnsiTheme="majorBidi" w:cstheme="majorBidi"/>
          <w:b/>
          <w:bCs/>
          <w:sz w:val="28"/>
          <w:szCs w:val="28"/>
          <w:rtl/>
        </w:rPr>
        <w:t>حجازي والعطار (٢٠٢٤)</w:t>
      </w:r>
      <w:r w:rsidRPr="00D51A4C">
        <w:rPr>
          <w:rFonts w:asciiTheme="majorBidi" w:hAnsiTheme="majorBidi" w:cstheme="majorBidi"/>
          <w:sz w:val="28"/>
          <w:szCs w:val="28"/>
          <w:rtl/>
        </w:rPr>
        <w:t xml:space="preserve"> تعريفًا يركز على سياق تدريبي محدد، فيصفونه بأنه: "مجموعة من الأنشطة والإجراءات التدريبية المحددة التي يقوم بها إخصائي التخاطب -مجتمع الحشد- في بيئة التدريب الإلكترونية</w:t>
      </w:r>
      <w:r w:rsidRPr="00D51A4C">
        <w:rPr>
          <w:rFonts w:asciiTheme="majorBidi" w:hAnsiTheme="majorBidi" w:cstheme="majorBidi"/>
          <w:sz w:val="28"/>
          <w:szCs w:val="28"/>
        </w:rPr>
        <w:t xml:space="preserve"> 'Microsoft Viva Engage' </w:t>
      </w:r>
      <w:r w:rsidRPr="00D51A4C">
        <w:rPr>
          <w:rFonts w:asciiTheme="majorBidi" w:hAnsiTheme="majorBidi" w:cstheme="majorBidi"/>
          <w:sz w:val="28"/>
          <w:szCs w:val="28"/>
          <w:rtl/>
        </w:rPr>
        <w:t>حيث يتنافس مجتمع الحشد المشاركون في تنفيذ مهام محددة لتقييم الأطفال ذوي اضطراب طيف التوحد، ويقوم كل إخصائي في الحشد بإنجاز المهمات المطلوبة بشكل مستقل عن باقي الإخصائيين، ويسعى إلى التفوق في حل المهمات بالتتابع والتسلسل والإجراءات المحددة إلى أفضل إخصائي في إنجاز المهام المحددة للحصول على المكافأة التي تعزز من أدائها لدى المجتمع</w:t>
      </w:r>
      <w:r w:rsidRPr="00D51A4C">
        <w:rPr>
          <w:rFonts w:asciiTheme="majorBidi" w:hAnsiTheme="majorBidi" w:cstheme="majorBidi"/>
          <w:sz w:val="28"/>
          <w:szCs w:val="28"/>
        </w:rPr>
        <w:t>".</w:t>
      </w:r>
    </w:p>
    <w:p w14:paraId="63ED31C9" w14:textId="77777777" w:rsidR="00122409" w:rsidRDefault="00122409" w:rsidP="00417A7B">
      <w:pPr>
        <w:pStyle w:val="Heading3"/>
        <w:bidi/>
        <w:rPr>
          <w:rFonts w:asciiTheme="majorBidi" w:hAnsiTheme="majorBidi"/>
          <w:rtl/>
        </w:rPr>
      </w:pPr>
      <w:r w:rsidRPr="0008291E">
        <w:rPr>
          <w:rFonts w:asciiTheme="majorBidi" w:hAnsiTheme="majorBidi"/>
          <w:rtl/>
        </w:rPr>
        <w:t>مزايا حشد المصادر التنافسي</w:t>
      </w:r>
    </w:p>
    <w:p w14:paraId="34180DC3" w14:textId="77777777" w:rsidR="00A4797C" w:rsidRDefault="00A4797C" w:rsidP="00A4797C">
      <w:pPr>
        <w:bidi/>
        <w:rPr>
          <w:rtl/>
        </w:rPr>
      </w:pPr>
    </w:p>
    <w:p w14:paraId="14209DAE" w14:textId="7EB4327C" w:rsidR="00A4797C" w:rsidRPr="00A4797C" w:rsidRDefault="00A4797C" w:rsidP="00A4797C">
      <w:pPr>
        <w:bidi/>
        <w:ind w:left="720"/>
        <w:jc w:val="both"/>
        <w:rPr>
          <w:rFonts w:asciiTheme="majorBidi" w:hAnsiTheme="majorBidi" w:cstheme="majorBidi"/>
          <w:sz w:val="28"/>
          <w:szCs w:val="28"/>
          <w:rtl/>
        </w:rPr>
      </w:pPr>
      <w:r w:rsidRPr="00A4797C">
        <w:rPr>
          <w:rFonts w:asciiTheme="majorBidi" w:hAnsiTheme="majorBidi" w:cstheme="majorBidi" w:hint="cs"/>
          <w:sz w:val="28"/>
          <w:szCs w:val="28"/>
          <w:rtl/>
        </w:rPr>
        <w:lastRenderedPageBreak/>
        <w:t>أشار</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كل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من</w:t>
      </w:r>
      <w:r w:rsidRPr="00A4797C">
        <w:rPr>
          <w:rFonts w:asciiTheme="majorBidi" w:hAnsiTheme="majorBidi" w:cstheme="majorBidi"/>
          <w:sz w:val="28"/>
          <w:szCs w:val="28"/>
        </w:rPr>
        <w:t xml:space="preserve"> (Donlon et al., 2019; Saxton et al., 2020) </w:t>
      </w:r>
      <w:r w:rsidRPr="00A4797C">
        <w:rPr>
          <w:rFonts w:asciiTheme="majorBidi" w:hAnsiTheme="majorBidi" w:cstheme="majorBidi" w:hint="cs"/>
          <w:sz w:val="28"/>
          <w:szCs w:val="28"/>
          <w:rtl/>
        </w:rPr>
        <w:t>إلى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مجموعة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المزايا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الرئيسية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لتطبيق</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النموذج</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التنافسي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حشد</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المصادر</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الإلكترونية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سياق</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التعليم،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وتتمثل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هذه</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المزايا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فيما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يلي</w:t>
      </w:r>
      <w:r w:rsidRPr="00A4797C">
        <w:rPr>
          <w:rFonts w:asciiTheme="majorBidi" w:hAnsiTheme="majorBidi" w:cstheme="majorBidi"/>
          <w:sz w:val="28"/>
          <w:szCs w:val="28"/>
        </w:rPr>
        <w:t>:</w:t>
      </w:r>
    </w:p>
    <w:p w14:paraId="424DC93E" w14:textId="77777777" w:rsidR="00A4797C" w:rsidRPr="00A4797C" w:rsidRDefault="00A4797C" w:rsidP="00A4797C">
      <w:pPr>
        <w:bidi/>
        <w:ind w:left="720" w:firstLine="720"/>
        <w:jc w:val="both"/>
        <w:rPr>
          <w:rFonts w:asciiTheme="majorBidi" w:hAnsiTheme="majorBidi" w:cstheme="majorBidi"/>
          <w:sz w:val="28"/>
          <w:szCs w:val="28"/>
          <w:rtl/>
        </w:rPr>
      </w:pPr>
      <w:r w:rsidRPr="00A4797C">
        <w:rPr>
          <w:rFonts w:asciiTheme="majorBidi" w:hAnsiTheme="majorBidi" w:cstheme="majorBidi" w:hint="cs"/>
          <w:sz w:val="28"/>
          <w:szCs w:val="28"/>
          <w:rtl/>
        </w:rPr>
        <w:t>تعزيز</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الدافعية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لدى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المشاركين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يعمل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الطابع</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التنافسي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لهذا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النموذج</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على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تحفيز</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أفراد</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مجتمع</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الحشد</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الطلاب</w:t>
      </w:r>
      <w:r w:rsidRPr="00A4797C">
        <w:rPr>
          <w:rFonts w:asciiTheme="majorBidi" w:hAnsiTheme="majorBidi" w:cstheme="majorBidi"/>
          <w:sz w:val="28"/>
          <w:szCs w:val="28"/>
          <w:rtl/>
        </w:rPr>
        <w:t>/</w:t>
      </w:r>
      <w:r w:rsidRPr="00A4797C">
        <w:rPr>
          <w:rFonts w:asciiTheme="majorBidi" w:hAnsiTheme="majorBidi" w:cstheme="majorBidi" w:hint="cs"/>
          <w:sz w:val="28"/>
          <w:szCs w:val="28"/>
          <w:rtl/>
        </w:rPr>
        <w:t>المتعلمين</w:t>
      </w:r>
      <w:r w:rsidRPr="00A4797C">
        <w:rPr>
          <w:rFonts w:asciiTheme="majorBidi" w:hAnsiTheme="majorBidi" w:cstheme="majorBidi"/>
          <w:sz w:val="28"/>
          <w:szCs w:val="28"/>
          <w:rtl/>
        </w:rPr>
        <w:t>)</w:t>
      </w:r>
      <w:r w:rsidRPr="00A4797C">
        <w:rPr>
          <w:rFonts w:asciiTheme="majorBidi" w:hAnsiTheme="majorBidi" w:cstheme="majorBidi" w:hint="cs"/>
          <w:sz w:val="28"/>
          <w:szCs w:val="28"/>
          <w:rtl/>
        </w:rPr>
        <w:t>،</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حيث</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يسعى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كل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متعلم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لإنجاز</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المهام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المكلف</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بها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بأعلى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جودة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ممكنة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بهدف</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التفوق</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وتحقيق</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المرتبة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الأولى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هذا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التوجه</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التنافسي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يساهم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بفعالية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تحقيق</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الأهداف</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التعليمية،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إذ</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يجعل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المتعلم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أكثر</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حماسًا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لإتمام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الواجبات</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ومواجهة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التحديات</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المرتبطة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بحل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المشكلات</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التعليمية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والتغلب</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عليها</w:t>
      </w:r>
      <w:r w:rsidRPr="00A4797C">
        <w:rPr>
          <w:rFonts w:asciiTheme="majorBidi" w:hAnsiTheme="majorBidi" w:cstheme="majorBidi"/>
          <w:sz w:val="28"/>
          <w:szCs w:val="28"/>
        </w:rPr>
        <w:t>.</w:t>
      </w:r>
    </w:p>
    <w:p w14:paraId="3D2E2FBB" w14:textId="77777777" w:rsidR="00A4797C" w:rsidRPr="00A4797C" w:rsidRDefault="00A4797C" w:rsidP="00A4797C">
      <w:pPr>
        <w:bidi/>
        <w:ind w:left="720" w:firstLine="720"/>
        <w:jc w:val="both"/>
        <w:rPr>
          <w:rFonts w:asciiTheme="majorBidi" w:hAnsiTheme="majorBidi" w:cstheme="majorBidi"/>
          <w:sz w:val="28"/>
          <w:szCs w:val="28"/>
          <w:rtl/>
        </w:rPr>
      </w:pPr>
      <w:r w:rsidRPr="00A4797C">
        <w:rPr>
          <w:rFonts w:asciiTheme="majorBidi" w:hAnsiTheme="majorBidi" w:cstheme="majorBidi" w:hint="cs"/>
          <w:sz w:val="28"/>
          <w:szCs w:val="28"/>
          <w:rtl/>
        </w:rPr>
        <w:t>تشجيع</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الاستقلالية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الأداء</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يتميز</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هذا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النموذج</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بتمكين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كل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متعلم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العمل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بشكل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مستقل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لإنجاز</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المهام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المطلوبة،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بمعزل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عن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باقي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المشاركين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مجتمع</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الحشد</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يعتمد</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النموذج</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بشكل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أساسي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على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المنافسة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المستمرة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بين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المتعلمين،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مما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يدفع</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كل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فرد</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للسعي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نحو</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التميز</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والتفوق</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معتمدًا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على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قدراته</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وجهوده</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الذاتية</w:t>
      </w:r>
      <w:r w:rsidRPr="00A4797C">
        <w:rPr>
          <w:rFonts w:asciiTheme="majorBidi" w:hAnsiTheme="majorBidi" w:cstheme="majorBidi"/>
          <w:sz w:val="28"/>
          <w:szCs w:val="28"/>
        </w:rPr>
        <w:t>.</w:t>
      </w:r>
    </w:p>
    <w:p w14:paraId="544597D9" w14:textId="2FE9FB77" w:rsidR="000E177E" w:rsidRPr="00A4797C" w:rsidRDefault="00A4797C" w:rsidP="00A4797C">
      <w:pPr>
        <w:bidi/>
        <w:ind w:left="720" w:firstLine="720"/>
        <w:jc w:val="both"/>
        <w:rPr>
          <w:rFonts w:asciiTheme="majorBidi" w:hAnsiTheme="majorBidi" w:cstheme="majorBidi"/>
          <w:sz w:val="28"/>
          <w:szCs w:val="28"/>
          <w:rtl/>
        </w:rPr>
      </w:pPr>
      <w:r w:rsidRPr="00A4797C">
        <w:rPr>
          <w:rFonts w:asciiTheme="majorBidi" w:hAnsiTheme="majorBidi" w:cstheme="majorBidi" w:hint="cs"/>
          <w:sz w:val="28"/>
          <w:szCs w:val="28"/>
          <w:rtl/>
        </w:rPr>
        <w:t>تنمية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الدوافع</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الذاتية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والخارجية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يساهم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الانخراط</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المنافسة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أثناء</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حل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المشكلات</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أو</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إنجاز</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المهام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بشكل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فردي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في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توليد</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دوافع</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داخلية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قوية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لدى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كل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متعلم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وبالإضافة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إلى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ذلك،</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توفر</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البيئة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التنافسية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المحيطة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حوافز</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خارجية</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تدفع</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المشاركين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لبذل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قصارى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جهدهم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وتقديم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أفضل</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ما</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لديهم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بهدف</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تحقيق</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الإنجاز</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والتفوق</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على</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أقرانهم</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ضمن</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مجتمع</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الحشد</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التنافسي</w:t>
      </w:r>
      <w:r w:rsidRPr="00A4797C">
        <w:rPr>
          <w:rFonts w:asciiTheme="majorBidi" w:hAnsiTheme="majorBidi" w:cstheme="majorBidi"/>
          <w:sz w:val="28"/>
          <w:szCs w:val="28"/>
          <w:rtl/>
        </w:rPr>
        <w:t xml:space="preserve"> </w:t>
      </w:r>
      <w:r w:rsidRPr="00A4797C">
        <w:rPr>
          <w:rFonts w:asciiTheme="majorBidi" w:hAnsiTheme="majorBidi" w:cstheme="majorBidi" w:hint="cs"/>
          <w:sz w:val="28"/>
          <w:szCs w:val="28"/>
          <w:rtl/>
        </w:rPr>
        <w:t>التعليمي</w:t>
      </w:r>
      <w:r w:rsidRPr="00A4797C">
        <w:rPr>
          <w:rFonts w:asciiTheme="majorBidi" w:hAnsiTheme="majorBidi" w:cstheme="majorBidi"/>
          <w:sz w:val="28"/>
          <w:szCs w:val="28"/>
          <w:rtl/>
        </w:rPr>
        <w:t>.</w:t>
      </w:r>
    </w:p>
    <w:p w14:paraId="048892B6" w14:textId="77777777" w:rsidR="0089636A" w:rsidRPr="008968A9" w:rsidRDefault="0089636A" w:rsidP="0089636A">
      <w:pPr>
        <w:pStyle w:val="Heading3"/>
        <w:bidi/>
        <w:rPr>
          <w:rFonts w:asciiTheme="majorBidi" w:hAnsiTheme="majorBidi"/>
          <w:rtl/>
        </w:rPr>
      </w:pPr>
      <w:r w:rsidRPr="008968A9">
        <w:rPr>
          <w:rFonts w:asciiTheme="majorBidi" w:hAnsiTheme="majorBidi"/>
          <w:rtl/>
        </w:rPr>
        <w:t>الدراسات التي تناولت حشد المصادر التشاركي والتنافسي:</w:t>
      </w:r>
    </w:p>
    <w:p w14:paraId="0670F729" w14:textId="77777777" w:rsidR="0089636A" w:rsidRPr="008968A9" w:rsidRDefault="0089636A" w:rsidP="0089636A">
      <w:pPr>
        <w:bidi/>
        <w:ind w:left="720" w:firstLine="720"/>
        <w:jc w:val="both"/>
        <w:rPr>
          <w:rFonts w:asciiTheme="majorBidi" w:hAnsiTheme="majorBidi" w:cstheme="majorBidi"/>
          <w:sz w:val="28"/>
          <w:szCs w:val="28"/>
        </w:rPr>
      </w:pPr>
      <w:r w:rsidRPr="008968A9">
        <w:rPr>
          <w:rFonts w:asciiTheme="majorBidi" w:hAnsiTheme="majorBidi" w:cstheme="majorBidi"/>
          <w:sz w:val="28"/>
          <w:szCs w:val="28"/>
          <w:rtl/>
        </w:rPr>
        <w:t>دراسة حسن (۲۰۲۱)، فقد تحرت أثر تطبيق أنماط مختلفة لحشد المصادر الإلكترونية (تنافسي/ تشاركي/ هجين) عبر منصات التواصل الاجتماعي، في تطوير مهارات البحث العلمي لدى طلبة الدراسات العليا بكلية التربية بجامعة أم القرى. وخلصت إلى أن النمط الهجين لحشد المصادر أظهر فعالية أكبر في صقل مهارات البحث العلمي لدى العينة المدروسة.</w:t>
      </w:r>
    </w:p>
    <w:p w14:paraId="36C6855C" w14:textId="77777777" w:rsidR="0089636A" w:rsidRPr="008968A9" w:rsidRDefault="0089636A" w:rsidP="0089636A">
      <w:pPr>
        <w:bidi/>
        <w:ind w:left="720" w:firstLine="720"/>
        <w:jc w:val="both"/>
        <w:rPr>
          <w:rFonts w:asciiTheme="majorBidi" w:hAnsiTheme="majorBidi" w:cstheme="majorBidi"/>
          <w:sz w:val="28"/>
          <w:szCs w:val="28"/>
          <w:rtl/>
        </w:rPr>
      </w:pPr>
      <w:r w:rsidRPr="008968A9">
        <w:rPr>
          <w:rFonts w:asciiTheme="majorBidi" w:hAnsiTheme="majorBidi" w:cstheme="majorBidi"/>
          <w:sz w:val="28"/>
          <w:szCs w:val="28"/>
          <w:rtl/>
        </w:rPr>
        <w:t>وبحثت دراسة عمار (۲۰۲۳) في تأثير نمط حشد المصادر الرقمية (التنافسي/ التشاركي) المدمج مع عناصر التلعيب، على تطوير مهارات استخدام تطبيقات جوجل التعليمية وتعزيز الدافعية للتعلم لدى طلاب تكنولوجيا التعليم. وأظهرت النتائج تفوق النمط التشاركي في تحسين التحصيل وتطوير مهارات استخدام تطبيقات جوجل، بينما لم تظهر فروق ذات دلالة بين النمطين في مستوى الدافعية للتعلم لدى العينة.</w:t>
      </w:r>
    </w:p>
    <w:p w14:paraId="78F6ED5D" w14:textId="77777777" w:rsidR="0089636A" w:rsidRPr="008968A9" w:rsidRDefault="0089636A" w:rsidP="0089636A">
      <w:pPr>
        <w:bidi/>
        <w:ind w:left="720" w:firstLine="720"/>
        <w:jc w:val="both"/>
        <w:rPr>
          <w:rFonts w:asciiTheme="majorBidi" w:hAnsiTheme="majorBidi" w:cstheme="majorBidi"/>
          <w:sz w:val="28"/>
          <w:szCs w:val="28"/>
          <w:rtl/>
        </w:rPr>
      </w:pPr>
      <w:r w:rsidRPr="008968A9">
        <w:rPr>
          <w:rFonts w:asciiTheme="majorBidi" w:hAnsiTheme="majorBidi" w:cstheme="majorBidi"/>
          <w:sz w:val="28"/>
          <w:szCs w:val="28"/>
          <w:rtl/>
        </w:rPr>
        <w:t>كما تحرت دراسة وهبه (۲۰۲۳) تأثير اختلاف نمط حشد المصادر (التنافسي/ التشاركي) في بيئة تدريب رقمية معززة بتقنيات الذكاء الاصطناعي، على تطوير مهارات التعلم الرقمي لدى معلمي المرحلة الثانوية. وأظهرت النتائج تفوق النمط التشاركي في تعزيز هذه المهارات ضمن بيئة التدريب المذكورة، مع وجود تأثير قوي وملموس لتطبيق كلا النمطين داخل البيئة التدريبية على عينة البحث.</w:t>
      </w:r>
    </w:p>
    <w:p w14:paraId="33FD0BE9" w14:textId="77777777" w:rsidR="0089636A" w:rsidRPr="008968A9" w:rsidRDefault="0089636A" w:rsidP="0089636A">
      <w:pPr>
        <w:bidi/>
        <w:ind w:left="720" w:firstLine="720"/>
        <w:jc w:val="both"/>
        <w:rPr>
          <w:rFonts w:asciiTheme="majorBidi" w:hAnsiTheme="majorBidi" w:cstheme="majorBidi"/>
          <w:sz w:val="28"/>
          <w:szCs w:val="28"/>
          <w:rtl/>
        </w:rPr>
      </w:pPr>
      <w:r w:rsidRPr="008968A9">
        <w:rPr>
          <w:rFonts w:asciiTheme="majorBidi" w:hAnsiTheme="majorBidi" w:cstheme="majorBidi"/>
          <w:sz w:val="28"/>
          <w:szCs w:val="28"/>
          <w:rtl/>
        </w:rPr>
        <w:t xml:space="preserve">كما استقصت دراسة وهبه (2024) تأثير نمط حشد المصادر (التنافسي/ التشاركي) ضمن بيئة تدريب إلكترونية مدعومة بروبوتات الدردشة، على تطوير مهارات إدارة الفصول الافتراضية </w:t>
      </w:r>
      <w:r w:rsidRPr="008968A9">
        <w:rPr>
          <w:rFonts w:asciiTheme="majorBidi" w:hAnsiTheme="majorBidi" w:cstheme="majorBidi"/>
          <w:sz w:val="28"/>
          <w:szCs w:val="28"/>
          <w:rtl/>
        </w:rPr>
        <w:lastRenderedPageBreak/>
        <w:t>لدى معلمي المرحلة الثانوية. كشفت النتائج عن تفوق النمط التشاركي لحشد المصادر في تحسين الجوانب المعرفية والأدائية لهذه المهارات مقارنة بالنمط التنافسي.</w:t>
      </w:r>
    </w:p>
    <w:p w14:paraId="0DBEBEB1" w14:textId="77777777" w:rsidR="0089636A" w:rsidRPr="008968A9" w:rsidRDefault="0089636A" w:rsidP="0089636A">
      <w:pPr>
        <w:bidi/>
        <w:ind w:left="720" w:firstLine="720"/>
        <w:jc w:val="both"/>
        <w:rPr>
          <w:rFonts w:asciiTheme="majorBidi" w:hAnsiTheme="majorBidi" w:cstheme="majorBidi"/>
          <w:sz w:val="28"/>
          <w:szCs w:val="28"/>
          <w:rtl/>
        </w:rPr>
      </w:pPr>
      <w:r w:rsidRPr="008968A9">
        <w:rPr>
          <w:rFonts w:asciiTheme="majorBidi" w:hAnsiTheme="majorBidi" w:cstheme="majorBidi"/>
          <w:sz w:val="28"/>
          <w:szCs w:val="28"/>
          <w:rtl/>
        </w:rPr>
        <w:t>وتناولت دراسة مرسي (2024) أثر أنماط مختلفة للتلعيب التنافسي (ذاتي/ مقارن/ جماعي) المرتكز على حشد المصادر الإلكترونية، في تنمية مهارات التحول الرقمي والتنور التقني والشغف الأكاديمي لدى طلاب تكنولوجيا التعليم. أظهرت النتائج وجود فروق بين الأنماط؛ حيث تفوق التلعيب التنافسي بشكل عام في التحصيل المعرفي، بينما كان للتلعيب المقارن أثر أكبر على الأداء، وتفوق التلعيب الجماعي في تنمية التنور التقني والشغف الأكاديمي.</w:t>
      </w:r>
    </w:p>
    <w:p w14:paraId="69A645FE" w14:textId="77777777" w:rsidR="0089636A" w:rsidRPr="008968A9" w:rsidRDefault="0089636A" w:rsidP="0089636A">
      <w:pPr>
        <w:bidi/>
        <w:ind w:left="720" w:firstLine="720"/>
        <w:jc w:val="both"/>
        <w:rPr>
          <w:rFonts w:asciiTheme="majorBidi" w:hAnsiTheme="majorBidi" w:cstheme="majorBidi"/>
          <w:sz w:val="28"/>
          <w:szCs w:val="28"/>
          <w:rtl/>
        </w:rPr>
      </w:pPr>
      <w:r w:rsidRPr="008968A9">
        <w:rPr>
          <w:rFonts w:asciiTheme="majorBidi" w:hAnsiTheme="majorBidi" w:cstheme="majorBidi"/>
          <w:sz w:val="28"/>
          <w:szCs w:val="28"/>
          <w:rtl/>
        </w:rPr>
        <w:t xml:space="preserve">واستكشفت دراسة حجازي والعطار (2024) تأثير التفاعل بين نمطي حشد المصادر (التنافسي/ التشاركي) وأسلوب البحث (الإلكتروني/ الذكي) في بيئة تدريب إلكترونية، على تطوير مهارات </w:t>
      </w:r>
      <w:proofErr w:type="spellStart"/>
      <w:r w:rsidRPr="008968A9">
        <w:rPr>
          <w:rFonts w:asciiTheme="majorBidi" w:hAnsiTheme="majorBidi" w:cstheme="majorBidi"/>
          <w:sz w:val="28"/>
          <w:szCs w:val="28"/>
          <w:rtl/>
        </w:rPr>
        <w:t>أخصائيي</w:t>
      </w:r>
      <w:proofErr w:type="spellEnd"/>
      <w:r w:rsidRPr="008968A9">
        <w:rPr>
          <w:rFonts w:asciiTheme="majorBidi" w:hAnsiTheme="majorBidi" w:cstheme="majorBidi"/>
          <w:sz w:val="28"/>
          <w:szCs w:val="28"/>
          <w:rtl/>
        </w:rPr>
        <w:t xml:space="preserve"> التخاطب اللازمة لتقييم الأطفال ذوي اضطراب طيف التوحد. لم تجد الدراسة فروقًا دالة إحصائيًا بين المجموعات في التحصيل المعرفي، لكنها وجدت فرقًا دالًا في الأداء المهاري لصالح نمط حشد المصادر التشاركي وأسلوب البحث الذكي كل على حدة، دون وجود تأثير للتفاعل بينهما على الأداء المهاري. وأرجعت الدراسة ذلك إلى كفاءة تصميم بيئة التدريب في تلبية احتياجات المتدربين ومراعاة الأسس النظرية.</w:t>
      </w:r>
    </w:p>
    <w:p w14:paraId="2AD81C3B" w14:textId="77777777" w:rsidR="0089636A" w:rsidRPr="008968A9" w:rsidRDefault="0089636A" w:rsidP="0089636A">
      <w:pPr>
        <w:bidi/>
        <w:ind w:left="720" w:firstLine="720"/>
        <w:jc w:val="both"/>
        <w:rPr>
          <w:rFonts w:asciiTheme="majorBidi" w:hAnsiTheme="majorBidi" w:cstheme="majorBidi"/>
          <w:sz w:val="28"/>
          <w:szCs w:val="28"/>
          <w:rtl/>
        </w:rPr>
      </w:pPr>
      <w:r w:rsidRPr="008968A9">
        <w:rPr>
          <w:rFonts w:asciiTheme="majorBidi" w:hAnsiTheme="majorBidi" w:cstheme="majorBidi"/>
          <w:sz w:val="28"/>
          <w:szCs w:val="28"/>
          <w:rtl/>
        </w:rPr>
        <w:t>ودرست بلال (2024) أثر اختلاف نمط حشد المصادر الإلكترونية (تنافسي/ تشاركي/ هجين) في مهام ويب على اكتساب المفاهيم الأساسية في تكنولوجيا التعليم وخفض العبء المعرفي لدى الطلاب المعلمين. لم تجد الدراسة فروقًا ذات دلالة إحصائية بين الأنماط الثلاثة في اكتساب المفاهيم، وإن كانت المتوسطات تشير إلى تفوق طفيف للنمط الهجين. كما ساهمت جميع الأنماط في خفض العبء المعرفي، مع فروق طفيفة غير دالة لصالح النمط الهجين أيضًا.</w:t>
      </w:r>
    </w:p>
    <w:p w14:paraId="3FBFE00C" w14:textId="77777777" w:rsidR="0089636A" w:rsidRPr="008968A9" w:rsidRDefault="0089636A" w:rsidP="0089636A">
      <w:pPr>
        <w:bidi/>
        <w:ind w:left="720" w:firstLine="720"/>
        <w:jc w:val="both"/>
        <w:rPr>
          <w:rFonts w:asciiTheme="majorBidi" w:hAnsiTheme="majorBidi" w:cstheme="majorBidi"/>
          <w:sz w:val="28"/>
          <w:szCs w:val="28"/>
          <w:rtl/>
        </w:rPr>
      </w:pPr>
      <w:r w:rsidRPr="008968A9">
        <w:rPr>
          <w:rFonts w:asciiTheme="majorBidi" w:hAnsiTheme="majorBidi" w:cstheme="majorBidi"/>
          <w:sz w:val="28"/>
          <w:szCs w:val="28"/>
          <w:rtl/>
        </w:rPr>
        <w:t>وهدفت دراسة المعتصم (2024) إلى تصميم استراتيجية مقترحة لحشد المصادر الإلكترونية (التنافسي/ التشاركي) قائمة على المشروعات ببيئة تعلم اجتماعي عبر الويب، وقياس أثرها على تنمية التحصيل وجودة إنتاج المشروعات التعليمية والذكاء الجمعي لدى الطالبات المعلمات. لم تظهر النتائج فرقًا دالًا بين النمطين في التحصيل، لكن النمط التشاركي تفوق في جودة إنتاج المشروعات وتنمية الذكاء الجمعي. وأظهرت الاستراتيجية ككل حجم تأثير كبير في التحصيل، كما وجدت علاقة ارتباطية بين الذكاء الجمعي وجودة إنتاج المشروعات.</w:t>
      </w:r>
    </w:p>
    <w:p w14:paraId="3F02F351" w14:textId="77777777" w:rsidR="0089636A" w:rsidRDefault="0089636A" w:rsidP="0089636A">
      <w:pPr>
        <w:bidi/>
        <w:ind w:left="720" w:firstLine="720"/>
        <w:jc w:val="both"/>
        <w:rPr>
          <w:rFonts w:asciiTheme="majorBidi" w:hAnsiTheme="majorBidi" w:cstheme="majorBidi"/>
          <w:sz w:val="28"/>
          <w:szCs w:val="28"/>
          <w:rtl/>
        </w:rPr>
      </w:pPr>
      <w:r w:rsidRPr="008968A9">
        <w:rPr>
          <w:rFonts w:asciiTheme="majorBidi" w:hAnsiTheme="majorBidi" w:cstheme="majorBidi"/>
          <w:sz w:val="28"/>
          <w:szCs w:val="28"/>
          <w:rtl/>
        </w:rPr>
        <w:t xml:space="preserve">أما دراسة </w:t>
      </w:r>
      <w:proofErr w:type="spellStart"/>
      <w:r w:rsidRPr="008968A9">
        <w:rPr>
          <w:rFonts w:asciiTheme="majorBidi" w:hAnsiTheme="majorBidi" w:cstheme="majorBidi"/>
          <w:sz w:val="28"/>
          <w:szCs w:val="28"/>
          <w:rtl/>
        </w:rPr>
        <w:t>كرسون</w:t>
      </w:r>
      <w:proofErr w:type="spellEnd"/>
      <w:r w:rsidRPr="008968A9">
        <w:rPr>
          <w:rFonts w:asciiTheme="majorBidi" w:hAnsiTheme="majorBidi" w:cstheme="majorBidi"/>
          <w:sz w:val="28"/>
          <w:szCs w:val="28"/>
          <w:rtl/>
        </w:rPr>
        <w:t xml:space="preserve"> وآخرون (2025)، فقد بحثت في أثر تصميم بيئة تدريب عبر الأجهزة المحمولة تعتمد على نمطي حشد المصادر (التنافسي/ التشاركي) في تطوير الكفاءات المعرفية والتطبيقية المرتبطة بالتحول الرقمي لدى معلمي الحاسب الآلي في الأزهر الشريف. وأظهرت النتائج رجحان كفة النمط التشاركي في تنمية هذه الكفاءات مقارنة بالنمط التنافسي، وعزت الدراسة هذا التفوق إلى المزايا المتعددة لبيئات التدريب المتنقلة، مثل مرونتها وقدرتها على تحسين التواصل وزيادة الحافز ومنح المتدربين شعوراً أكبر بالاستقلالية.</w:t>
      </w:r>
    </w:p>
    <w:p w14:paraId="6F3D44C9" w14:textId="77777777" w:rsidR="0089636A" w:rsidRPr="008968A9" w:rsidRDefault="0089636A" w:rsidP="0089636A">
      <w:pPr>
        <w:bidi/>
        <w:ind w:left="720" w:firstLine="720"/>
        <w:jc w:val="both"/>
        <w:rPr>
          <w:rFonts w:asciiTheme="majorBidi" w:hAnsiTheme="majorBidi" w:cstheme="majorBidi"/>
          <w:sz w:val="28"/>
          <w:szCs w:val="28"/>
          <w:rtl/>
        </w:rPr>
      </w:pPr>
      <w:r w:rsidRPr="0089636A">
        <w:rPr>
          <w:rFonts w:asciiTheme="majorBidi" w:hAnsiTheme="majorBidi" w:cstheme="majorBidi"/>
          <w:sz w:val="28"/>
          <w:szCs w:val="28"/>
          <w:rtl/>
        </w:rPr>
        <w:lastRenderedPageBreak/>
        <w:t xml:space="preserve">ومن خلال تحليل البحوث والدراسات </w:t>
      </w:r>
      <w:proofErr w:type="gramStart"/>
      <w:r w:rsidRPr="0089636A">
        <w:rPr>
          <w:rFonts w:asciiTheme="majorBidi" w:hAnsiTheme="majorBidi" w:cstheme="majorBidi"/>
          <w:sz w:val="28"/>
          <w:szCs w:val="28"/>
          <w:rtl/>
        </w:rPr>
        <w:t>السابقة .</w:t>
      </w:r>
      <w:proofErr w:type="gramEnd"/>
      <w:r w:rsidRPr="0089636A">
        <w:rPr>
          <w:rFonts w:asciiTheme="majorBidi" w:hAnsiTheme="majorBidi" w:cstheme="majorBidi"/>
          <w:sz w:val="28"/>
          <w:szCs w:val="28"/>
          <w:rtl/>
        </w:rPr>
        <w:t xml:space="preserve"> سالفة </w:t>
      </w:r>
      <w:proofErr w:type="gramStart"/>
      <w:r w:rsidRPr="0089636A">
        <w:rPr>
          <w:rFonts w:asciiTheme="majorBidi" w:hAnsiTheme="majorBidi" w:cstheme="majorBidi"/>
          <w:sz w:val="28"/>
          <w:szCs w:val="28"/>
          <w:rtl/>
        </w:rPr>
        <w:t>البيان .</w:t>
      </w:r>
      <w:proofErr w:type="gramEnd"/>
      <w:r w:rsidRPr="0089636A">
        <w:rPr>
          <w:rFonts w:asciiTheme="majorBidi" w:hAnsiTheme="majorBidi" w:cstheme="majorBidi"/>
          <w:sz w:val="28"/>
          <w:szCs w:val="28"/>
          <w:rtl/>
        </w:rPr>
        <w:t xml:space="preserve"> التي تناولت المقارنة بين نمط حشد المصادر الإلكترونية التنافسي، ونمط حشد المصادر الإلكترونية التشاركي (حسن، </w:t>
      </w:r>
      <w:r w:rsidRPr="0089636A">
        <w:rPr>
          <w:rFonts w:asciiTheme="majorBidi" w:hAnsiTheme="majorBidi" w:cstheme="majorBidi"/>
          <w:sz w:val="28"/>
          <w:szCs w:val="28"/>
          <w:rtl/>
          <w:lang w:bidi="fa-IR"/>
        </w:rPr>
        <w:t>۲۰۲۱</w:t>
      </w:r>
      <w:r w:rsidRPr="0089636A">
        <w:rPr>
          <w:rFonts w:asciiTheme="majorBidi" w:hAnsiTheme="majorBidi" w:cstheme="majorBidi"/>
          <w:sz w:val="28"/>
          <w:szCs w:val="28"/>
          <w:rtl/>
        </w:rPr>
        <w:t xml:space="preserve">؛ عمار، </w:t>
      </w:r>
      <w:r w:rsidRPr="0089636A">
        <w:rPr>
          <w:rFonts w:asciiTheme="majorBidi" w:hAnsiTheme="majorBidi" w:cstheme="majorBidi"/>
          <w:sz w:val="28"/>
          <w:szCs w:val="28"/>
          <w:rtl/>
          <w:lang w:bidi="fa-IR"/>
        </w:rPr>
        <w:t>۲۰۲۳</w:t>
      </w:r>
      <w:r w:rsidRPr="0089636A">
        <w:rPr>
          <w:rFonts w:asciiTheme="majorBidi" w:hAnsiTheme="majorBidi" w:cstheme="majorBidi"/>
          <w:sz w:val="28"/>
          <w:szCs w:val="28"/>
          <w:rtl/>
        </w:rPr>
        <w:t xml:space="preserve">؛ وهبه، </w:t>
      </w:r>
      <w:r w:rsidRPr="0089636A">
        <w:rPr>
          <w:rFonts w:asciiTheme="majorBidi" w:hAnsiTheme="majorBidi" w:cstheme="majorBidi"/>
          <w:sz w:val="28"/>
          <w:szCs w:val="28"/>
          <w:rtl/>
          <w:lang w:bidi="fa-IR"/>
        </w:rPr>
        <w:t>۲۰۲۳</w:t>
      </w:r>
      <w:r w:rsidRPr="0089636A">
        <w:rPr>
          <w:rFonts w:asciiTheme="majorBidi" w:hAnsiTheme="majorBidi" w:cstheme="majorBidi"/>
          <w:sz w:val="28"/>
          <w:szCs w:val="28"/>
          <w:rtl/>
        </w:rPr>
        <w:t xml:space="preserve">؛ وهبه، 2024؛ مرسي، 2024؛ حجازي والعطار، 2024؛ بلال، 2024؛ المعتصم، 2024؛ </w:t>
      </w:r>
      <w:proofErr w:type="spellStart"/>
      <w:r w:rsidRPr="0089636A">
        <w:rPr>
          <w:rFonts w:asciiTheme="majorBidi" w:hAnsiTheme="majorBidi" w:cstheme="majorBidi"/>
          <w:sz w:val="28"/>
          <w:szCs w:val="28"/>
          <w:rtl/>
        </w:rPr>
        <w:t>كرسون</w:t>
      </w:r>
      <w:proofErr w:type="spellEnd"/>
      <w:r w:rsidRPr="0089636A">
        <w:rPr>
          <w:rFonts w:asciiTheme="majorBidi" w:hAnsiTheme="majorBidi" w:cstheme="majorBidi"/>
          <w:sz w:val="28"/>
          <w:szCs w:val="28"/>
          <w:rtl/>
        </w:rPr>
        <w:t xml:space="preserve"> وآخرون، 2025</w:t>
      </w:r>
      <w:proofErr w:type="gramStart"/>
      <w:r w:rsidRPr="0089636A">
        <w:rPr>
          <w:rFonts w:asciiTheme="majorBidi" w:hAnsiTheme="majorBidi" w:cstheme="majorBidi"/>
          <w:sz w:val="28"/>
          <w:szCs w:val="28"/>
          <w:rtl/>
        </w:rPr>
        <w:t>) .</w:t>
      </w:r>
      <w:proofErr w:type="gramEnd"/>
      <w:r w:rsidRPr="0089636A">
        <w:rPr>
          <w:rFonts w:asciiTheme="majorBidi" w:hAnsiTheme="majorBidi" w:cstheme="majorBidi"/>
          <w:sz w:val="28"/>
          <w:szCs w:val="28"/>
          <w:rtl/>
        </w:rPr>
        <w:t xml:space="preserve"> تسع محاولات على حد علم </w:t>
      </w:r>
      <w:proofErr w:type="gramStart"/>
      <w:r>
        <w:rPr>
          <w:rFonts w:asciiTheme="majorBidi" w:hAnsiTheme="majorBidi" w:cstheme="majorBidi" w:hint="cs"/>
          <w:sz w:val="28"/>
          <w:szCs w:val="28"/>
          <w:rtl/>
        </w:rPr>
        <w:t>الباحث</w:t>
      </w:r>
      <w:r w:rsidRPr="0089636A">
        <w:rPr>
          <w:rFonts w:asciiTheme="majorBidi" w:hAnsiTheme="majorBidi" w:cstheme="majorBidi"/>
          <w:sz w:val="28"/>
          <w:szCs w:val="28"/>
          <w:rtl/>
        </w:rPr>
        <w:t xml:space="preserve"> .</w:t>
      </w:r>
      <w:proofErr w:type="gramEnd"/>
      <w:r w:rsidRPr="0089636A">
        <w:rPr>
          <w:rFonts w:asciiTheme="majorBidi" w:hAnsiTheme="majorBidi" w:cstheme="majorBidi"/>
          <w:sz w:val="28"/>
          <w:szCs w:val="28"/>
          <w:rtl/>
        </w:rPr>
        <w:t xml:space="preserve"> تبين أن هناك تضارب بين النتائج، ولم تتفق هذه البحوث على تفضيل نمط عن الآخر</w:t>
      </w:r>
      <w:r w:rsidRPr="0089636A">
        <w:rPr>
          <w:rFonts w:asciiTheme="majorBidi" w:hAnsiTheme="majorBidi" w:cstheme="majorBidi"/>
          <w:sz w:val="28"/>
          <w:szCs w:val="28"/>
        </w:rPr>
        <w:t>.</w:t>
      </w:r>
    </w:p>
    <w:p w14:paraId="6A91C3E4" w14:textId="77777777" w:rsidR="00DF541A" w:rsidRPr="0008291E" w:rsidRDefault="00DF541A" w:rsidP="00DF541A">
      <w:pPr>
        <w:bidi/>
        <w:rPr>
          <w:rFonts w:asciiTheme="majorBidi" w:hAnsiTheme="majorBidi" w:cstheme="majorBidi"/>
          <w:rtl/>
        </w:rPr>
      </w:pPr>
    </w:p>
    <w:p w14:paraId="4032B324" w14:textId="77777777" w:rsidR="00DF541A" w:rsidRPr="0008291E" w:rsidRDefault="00DF541A" w:rsidP="00DF541A">
      <w:pPr>
        <w:bidi/>
        <w:rPr>
          <w:rFonts w:asciiTheme="majorBidi" w:hAnsiTheme="majorBidi" w:cstheme="majorBidi"/>
          <w:rtl/>
        </w:rPr>
      </w:pPr>
    </w:p>
    <w:p w14:paraId="51322D9D" w14:textId="14FAED1A" w:rsidR="00DA7949" w:rsidRPr="0008291E" w:rsidRDefault="00DA7949" w:rsidP="00DA7949">
      <w:pPr>
        <w:pStyle w:val="Heading3"/>
        <w:bidi/>
        <w:rPr>
          <w:rFonts w:asciiTheme="majorBidi" w:hAnsiTheme="majorBidi"/>
        </w:rPr>
      </w:pPr>
      <w:r w:rsidRPr="0008291E">
        <w:rPr>
          <w:rFonts w:asciiTheme="majorBidi" w:hAnsiTheme="majorBidi"/>
          <w:rtl/>
        </w:rPr>
        <w:t xml:space="preserve">مفهوم زمن حشد المصادر </w:t>
      </w:r>
    </w:p>
    <w:p w14:paraId="4F61ABA9" w14:textId="77777777" w:rsidR="00E34918" w:rsidRPr="0008291E" w:rsidRDefault="00E34918" w:rsidP="00E34918">
      <w:pPr>
        <w:bidi/>
        <w:ind w:left="720" w:firstLine="720"/>
        <w:rPr>
          <w:rFonts w:asciiTheme="majorBidi" w:hAnsiTheme="majorBidi" w:cstheme="majorBidi"/>
          <w:b/>
          <w:bCs/>
          <w:rtl/>
        </w:rPr>
      </w:pPr>
      <w:r w:rsidRPr="0008291E">
        <w:rPr>
          <w:rFonts w:asciiTheme="majorBidi" w:hAnsiTheme="majorBidi" w:cstheme="majorBidi"/>
          <w:b/>
          <w:bCs/>
          <w:rtl/>
        </w:rPr>
        <w:t>يكشف استعراض الأدبيات الحديثة في مجال حشد المصادر (</w:t>
      </w:r>
      <w:r w:rsidRPr="0008291E">
        <w:rPr>
          <w:rFonts w:asciiTheme="majorBidi" w:hAnsiTheme="majorBidi" w:cstheme="majorBidi"/>
          <w:b/>
          <w:bCs/>
        </w:rPr>
        <w:t xml:space="preserve">Mukhopadhyay et al., 2020; Saremi et al., 2022; </w:t>
      </w:r>
      <w:proofErr w:type="spellStart"/>
      <w:r w:rsidRPr="0008291E">
        <w:rPr>
          <w:rFonts w:asciiTheme="majorBidi" w:hAnsiTheme="majorBidi" w:cstheme="majorBidi"/>
          <w:b/>
          <w:bCs/>
        </w:rPr>
        <w:t>Lascău</w:t>
      </w:r>
      <w:proofErr w:type="spellEnd"/>
      <w:r w:rsidRPr="0008291E">
        <w:rPr>
          <w:rFonts w:asciiTheme="majorBidi" w:hAnsiTheme="majorBidi" w:cstheme="majorBidi"/>
          <w:b/>
          <w:bCs/>
          <w:rtl/>
        </w:rPr>
        <w:t xml:space="preserve"> &amp; </w:t>
      </w:r>
      <w:r w:rsidRPr="0008291E">
        <w:rPr>
          <w:rFonts w:asciiTheme="majorBidi" w:hAnsiTheme="majorBidi" w:cstheme="majorBidi"/>
          <w:b/>
          <w:bCs/>
        </w:rPr>
        <w:t>Brumby, 2021; Manam, 2023; Wang et al., 2011; Yang, 2018; Wang et al., 2021; Schmitz</w:t>
      </w:r>
      <w:r w:rsidRPr="0008291E">
        <w:rPr>
          <w:rFonts w:asciiTheme="majorBidi" w:hAnsiTheme="majorBidi" w:cstheme="majorBidi"/>
          <w:b/>
          <w:bCs/>
          <w:rtl/>
        </w:rPr>
        <w:t xml:space="preserve"> &amp; </w:t>
      </w:r>
      <w:proofErr w:type="spellStart"/>
      <w:r w:rsidRPr="0008291E">
        <w:rPr>
          <w:rFonts w:asciiTheme="majorBidi" w:hAnsiTheme="majorBidi" w:cstheme="majorBidi"/>
          <w:b/>
          <w:bCs/>
        </w:rPr>
        <w:t>Lykourentzou</w:t>
      </w:r>
      <w:proofErr w:type="spellEnd"/>
      <w:r w:rsidRPr="0008291E">
        <w:rPr>
          <w:rFonts w:asciiTheme="majorBidi" w:hAnsiTheme="majorBidi" w:cstheme="majorBidi"/>
          <w:b/>
          <w:bCs/>
        </w:rPr>
        <w:t xml:space="preserve">, 2016; Yang et al., 2016a; </w:t>
      </w:r>
      <w:proofErr w:type="spellStart"/>
      <w:r w:rsidRPr="0008291E">
        <w:rPr>
          <w:rFonts w:asciiTheme="majorBidi" w:hAnsiTheme="majorBidi" w:cstheme="majorBidi"/>
          <w:b/>
          <w:bCs/>
        </w:rPr>
        <w:t>Kucherbaev</w:t>
      </w:r>
      <w:proofErr w:type="spellEnd"/>
      <w:r w:rsidRPr="0008291E">
        <w:rPr>
          <w:rFonts w:asciiTheme="majorBidi" w:hAnsiTheme="majorBidi" w:cstheme="majorBidi"/>
          <w:b/>
          <w:bCs/>
        </w:rPr>
        <w:t xml:space="preserve"> et al., 2015; Yin et al., 2017; Yang et al., 2016b; Yang</w:t>
      </w:r>
      <w:r w:rsidRPr="0008291E">
        <w:rPr>
          <w:rFonts w:asciiTheme="majorBidi" w:hAnsiTheme="majorBidi" w:cstheme="majorBidi"/>
          <w:b/>
          <w:bCs/>
          <w:rtl/>
        </w:rPr>
        <w:t xml:space="preserve"> &amp; </w:t>
      </w:r>
      <w:r w:rsidRPr="0008291E">
        <w:rPr>
          <w:rFonts w:asciiTheme="majorBidi" w:hAnsiTheme="majorBidi" w:cstheme="majorBidi"/>
          <w:b/>
          <w:bCs/>
        </w:rPr>
        <w:t>Qi, 2021; Wang</w:t>
      </w:r>
      <w:r w:rsidRPr="0008291E">
        <w:rPr>
          <w:rFonts w:asciiTheme="majorBidi" w:hAnsiTheme="majorBidi" w:cstheme="majorBidi"/>
          <w:b/>
          <w:bCs/>
          <w:rtl/>
        </w:rPr>
        <w:t xml:space="preserve"> &amp; </w:t>
      </w:r>
      <w:r w:rsidRPr="0008291E">
        <w:rPr>
          <w:rFonts w:asciiTheme="majorBidi" w:hAnsiTheme="majorBidi" w:cstheme="majorBidi"/>
          <w:b/>
          <w:bCs/>
        </w:rPr>
        <w:t>Cui, 2023; Wei et al., 2023</w:t>
      </w:r>
      <w:r w:rsidRPr="0008291E">
        <w:rPr>
          <w:rFonts w:asciiTheme="majorBidi" w:hAnsiTheme="majorBidi" w:cstheme="majorBidi"/>
          <w:b/>
          <w:bCs/>
          <w:rtl/>
        </w:rPr>
        <w:t>) عن عدم وجود تعريف واحد متفق عليه لمفهوم "زمن حشد المصادر". بدلاً من ذلك، تتناول الدراسات هذا المفهوم من زوايا متعددة تعكس تعقيده وأهميته في سياقات مختلفة.</w:t>
      </w:r>
    </w:p>
    <w:p w14:paraId="26768CA2" w14:textId="511C013C" w:rsidR="00E34918" w:rsidRPr="0008291E" w:rsidRDefault="00E34918" w:rsidP="00E34918">
      <w:pPr>
        <w:bidi/>
        <w:ind w:left="720" w:firstLine="720"/>
        <w:rPr>
          <w:rFonts w:asciiTheme="majorBidi" w:hAnsiTheme="majorBidi" w:cstheme="majorBidi"/>
          <w:b/>
          <w:bCs/>
          <w:rtl/>
        </w:rPr>
      </w:pPr>
      <w:r w:rsidRPr="0008291E">
        <w:rPr>
          <w:rFonts w:asciiTheme="majorBidi" w:hAnsiTheme="majorBidi" w:cstheme="majorBidi"/>
          <w:b/>
          <w:bCs/>
          <w:rtl/>
        </w:rPr>
        <w:t>فبعض الدراسات تنظر إلى الزمن بشكل أساسي من منظور وقت إنجاز المهمة، وتعتبره عملية يمكن التنبؤ بها ونمذجتها إحصائيًا لتحسين كفاءة المنصات وتكاملها مع أنظمة أخرى (</w:t>
      </w:r>
      <w:r w:rsidRPr="0008291E">
        <w:rPr>
          <w:rFonts w:asciiTheme="majorBidi" w:hAnsiTheme="majorBidi" w:cstheme="majorBidi"/>
          <w:b/>
          <w:bCs/>
        </w:rPr>
        <w:t>Wang et al., 2011</w:t>
      </w:r>
      <w:r w:rsidRPr="0008291E">
        <w:rPr>
          <w:rFonts w:asciiTheme="majorBidi" w:hAnsiTheme="majorBidi" w:cstheme="majorBidi"/>
          <w:b/>
          <w:bCs/>
          <w:rtl/>
        </w:rPr>
        <w:t>). بينما تركز دراسات أخرى على مرونة العاملين في التحكم بوقتهم، وتدرس قيمتها الكبيرة بالنسبة لهم (</w:t>
      </w:r>
      <w:r w:rsidRPr="0008291E">
        <w:rPr>
          <w:rFonts w:asciiTheme="majorBidi" w:hAnsiTheme="majorBidi" w:cstheme="majorBidi"/>
          <w:b/>
          <w:bCs/>
        </w:rPr>
        <w:t>Yin et al., 2017</w:t>
      </w:r>
      <w:r w:rsidRPr="0008291E">
        <w:rPr>
          <w:rFonts w:asciiTheme="majorBidi" w:hAnsiTheme="majorBidi" w:cstheme="majorBidi"/>
          <w:b/>
          <w:bCs/>
          <w:rtl/>
        </w:rPr>
        <w:t>) وكيف تقوم المنصات بتقييد هذه المرونة عبر آليات تصميمية مختلفة (</w:t>
      </w:r>
      <w:proofErr w:type="spellStart"/>
      <w:r w:rsidRPr="0008291E">
        <w:rPr>
          <w:rFonts w:asciiTheme="majorBidi" w:hAnsiTheme="majorBidi" w:cstheme="majorBidi"/>
          <w:b/>
          <w:bCs/>
        </w:rPr>
        <w:t>Lascău</w:t>
      </w:r>
      <w:proofErr w:type="spellEnd"/>
      <w:r w:rsidRPr="0008291E">
        <w:rPr>
          <w:rFonts w:asciiTheme="majorBidi" w:hAnsiTheme="majorBidi" w:cstheme="majorBidi"/>
          <w:b/>
          <w:bCs/>
          <w:rtl/>
        </w:rPr>
        <w:t xml:space="preserve"> &amp; </w:t>
      </w:r>
      <w:r w:rsidRPr="0008291E">
        <w:rPr>
          <w:rFonts w:asciiTheme="majorBidi" w:hAnsiTheme="majorBidi" w:cstheme="majorBidi"/>
          <w:b/>
          <w:bCs/>
        </w:rPr>
        <w:t>Brumby, 2021</w:t>
      </w:r>
      <w:r w:rsidRPr="0008291E">
        <w:rPr>
          <w:rFonts w:asciiTheme="majorBidi" w:hAnsiTheme="majorBidi" w:cstheme="majorBidi"/>
          <w:b/>
          <w:bCs/>
          <w:rtl/>
        </w:rPr>
        <w:t>). ومن جهة ثالثة، يُنظر إلى الزمن كمجموعة من القيود التي يجب إدارتها بفعالية، سواء كانت مواعيد نهائية للمهام، أو فترات توفر محددة للعمال (خاصة الخبراء)، أو قيود متعددة نابعة من طبيعة المهام والمستخدمين في بيئات مثل حشد المصادر المتنقل (</w:t>
      </w:r>
      <w:r w:rsidRPr="0008291E">
        <w:rPr>
          <w:rFonts w:asciiTheme="majorBidi" w:hAnsiTheme="majorBidi" w:cstheme="majorBidi"/>
          <w:b/>
          <w:bCs/>
        </w:rPr>
        <w:t>Schmitz</w:t>
      </w:r>
      <w:r w:rsidRPr="0008291E">
        <w:rPr>
          <w:rFonts w:asciiTheme="majorBidi" w:hAnsiTheme="majorBidi" w:cstheme="majorBidi"/>
          <w:b/>
          <w:bCs/>
          <w:rtl/>
        </w:rPr>
        <w:t xml:space="preserve"> &amp; </w:t>
      </w:r>
      <w:proofErr w:type="spellStart"/>
      <w:r w:rsidRPr="0008291E">
        <w:rPr>
          <w:rFonts w:asciiTheme="majorBidi" w:hAnsiTheme="majorBidi" w:cstheme="majorBidi"/>
          <w:b/>
          <w:bCs/>
        </w:rPr>
        <w:t>Lykourentzou</w:t>
      </w:r>
      <w:proofErr w:type="spellEnd"/>
      <w:r w:rsidRPr="0008291E">
        <w:rPr>
          <w:rFonts w:asciiTheme="majorBidi" w:hAnsiTheme="majorBidi" w:cstheme="majorBidi"/>
          <w:b/>
          <w:bCs/>
        </w:rPr>
        <w:t>, 2016; Wei et al., 2023</w:t>
      </w:r>
      <w:r w:rsidRPr="0008291E">
        <w:rPr>
          <w:rFonts w:asciiTheme="majorBidi" w:hAnsiTheme="majorBidi" w:cstheme="majorBidi"/>
          <w:b/>
          <w:bCs/>
          <w:rtl/>
        </w:rPr>
        <w:t>). كما يتم تناوله من منظور التحكم في العملية لضمان إنجاز المهام في الوقت المناسب ومعالجة التأخيرات (</w:t>
      </w:r>
      <w:proofErr w:type="spellStart"/>
      <w:r w:rsidRPr="0008291E">
        <w:rPr>
          <w:rFonts w:asciiTheme="majorBidi" w:hAnsiTheme="majorBidi" w:cstheme="majorBidi"/>
          <w:b/>
          <w:bCs/>
        </w:rPr>
        <w:t>Kucherbaev</w:t>
      </w:r>
      <w:proofErr w:type="spellEnd"/>
      <w:r w:rsidRPr="0008291E">
        <w:rPr>
          <w:rFonts w:asciiTheme="majorBidi" w:hAnsiTheme="majorBidi" w:cstheme="majorBidi"/>
          <w:b/>
          <w:bCs/>
        </w:rPr>
        <w:t xml:space="preserve"> et al., 2015</w:t>
      </w:r>
      <w:r w:rsidRPr="0008291E">
        <w:rPr>
          <w:rFonts w:asciiTheme="majorBidi" w:hAnsiTheme="majorBidi" w:cstheme="majorBidi"/>
          <w:b/>
          <w:bCs/>
          <w:rtl/>
        </w:rPr>
        <w:t>). وسوف تركز الدراسة الحالية على نمطي زمن حشد المصادر المحدد الوقت والمفتوح الوقت.</w:t>
      </w:r>
    </w:p>
    <w:p w14:paraId="2CFDFB0B" w14:textId="77777777" w:rsidR="00E34918" w:rsidRPr="0008291E" w:rsidRDefault="00E34918" w:rsidP="00E34918">
      <w:pPr>
        <w:pStyle w:val="Heading3"/>
        <w:bidi/>
        <w:rPr>
          <w:rFonts w:asciiTheme="majorBidi" w:hAnsiTheme="majorBidi"/>
          <w:rtl/>
        </w:rPr>
      </w:pPr>
      <w:r w:rsidRPr="0008291E">
        <w:rPr>
          <w:rFonts w:asciiTheme="majorBidi" w:hAnsiTheme="majorBidi"/>
          <w:rtl/>
        </w:rPr>
        <w:t>مفهوم زمن حشد المصادر المقيد:</w:t>
      </w:r>
    </w:p>
    <w:p w14:paraId="2694A6D2" w14:textId="77777777" w:rsidR="00E34918" w:rsidRPr="0008291E" w:rsidRDefault="00E34918" w:rsidP="00E34918">
      <w:pPr>
        <w:bidi/>
        <w:ind w:left="720" w:firstLine="720"/>
        <w:rPr>
          <w:rFonts w:asciiTheme="majorBidi" w:hAnsiTheme="majorBidi" w:cstheme="majorBidi"/>
          <w:b/>
          <w:bCs/>
          <w:rtl/>
        </w:rPr>
      </w:pPr>
      <w:r w:rsidRPr="0008291E">
        <w:rPr>
          <w:rFonts w:asciiTheme="majorBidi" w:hAnsiTheme="majorBidi" w:cstheme="majorBidi"/>
          <w:b/>
          <w:bCs/>
          <w:rtl/>
        </w:rPr>
        <w:t>يُعرّف الإطار الزمني المحدد أو الموعد النهائي (</w:t>
      </w:r>
      <w:r w:rsidRPr="0008291E">
        <w:rPr>
          <w:rFonts w:asciiTheme="majorBidi" w:hAnsiTheme="majorBidi" w:cstheme="majorBidi"/>
          <w:b/>
          <w:bCs/>
        </w:rPr>
        <w:t>Deadline</w:t>
      </w:r>
      <w:r w:rsidRPr="0008291E">
        <w:rPr>
          <w:rFonts w:asciiTheme="majorBidi" w:hAnsiTheme="majorBidi" w:cstheme="majorBidi"/>
          <w:b/>
          <w:bCs/>
          <w:rtl/>
        </w:rPr>
        <w:t>) بأنه مجموعة العمليات والإجراءات التي يؤديها المتعلم، والتي تكون مقيدة بحد زمني معين أو موعد نهائي يجب الالتزام به لإتمام المهام المطلوبة وتنفيذها بنجاح. هذا الإطار الزمني، الذي قد تفرضه جهة تعليمية، أو منصة حشد مصادر، أو طالب مهمة، يُلزم الفرد بإنجاز المطلوب ضمنه، مما قد يمكّنه من الانتقال إلى مهمة أخرى. (</w:t>
      </w:r>
      <w:r w:rsidRPr="0008291E">
        <w:rPr>
          <w:rFonts w:asciiTheme="majorBidi" w:hAnsiTheme="majorBidi" w:cstheme="majorBidi"/>
          <w:b/>
          <w:bCs/>
        </w:rPr>
        <w:t>Mukhopadhyay et al., 2020; Schmitz</w:t>
      </w:r>
      <w:r w:rsidRPr="0008291E">
        <w:rPr>
          <w:rFonts w:asciiTheme="majorBidi" w:hAnsiTheme="majorBidi" w:cstheme="majorBidi"/>
          <w:b/>
          <w:bCs/>
          <w:rtl/>
        </w:rPr>
        <w:t xml:space="preserve"> &amp; </w:t>
      </w:r>
      <w:proofErr w:type="spellStart"/>
      <w:r w:rsidRPr="0008291E">
        <w:rPr>
          <w:rFonts w:asciiTheme="majorBidi" w:hAnsiTheme="majorBidi" w:cstheme="majorBidi"/>
          <w:b/>
          <w:bCs/>
        </w:rPr>
        <w:t>Lykourentzou</w:t>
      </w:r>
      <w:proofErr w:type="spellEnd"/>
      <w:r w:rsidRPr="0008291E">
        <w:rPr>
          <w:rFonts w:asciiTheme="majorBidi" w:hAnsiTheme="majorBidi" w:cstheme="majorBidi"/>
          <w:b/>
          <w:bCs/>
        </w:rPr>
        <w:t xml:space="preserve">, 2016; Wei et al., 2023; </w:t>
      </w:r>
      <w:proofErr w:type="spellStart"/>
      <w:r w:rsidRPr="0008291E">
        <w:rPr>
          <w:rFonts w:asciiTheme="majorBidi" w:hAnsiTheme="majorBidi" w:cstheme="majorBidi"/>
          <w:b/>
          <w:bCs/>
        </w:rPr>
        <w:t>Kucherbaev</w:t>
      </w:r>
      <w:proofErr w:type="spellEnd"/>
      <w:r w:rsidRPr="0008291E">
        <w:rPr>
          <w:rFonts w:asciiTheme="majorBidi" w:hAnsiTheme="majorBidi" w:cstheme="majorBidi"/>
          <w:b/>
          <w:bCs/>
        </w:rPr>
        <w:t xml:space="preserve"> et al., 2015; Cunningham, 2011, p. 62; Kapp, 2012, p. 38; </w:t>
      </w:r>
      <w:proofErr w:type="spellStart"/>
      <w:r w:rsidRPr="0008291E">
        <w:rPr>
          <w:rFonts w:asciiTheme="majorBidi" w:hAnsiTheme="majorBidi" w:cstheme="majorBidi"/>
          <w:b/>
          <w:bCs/>
        </w:rPr>
        <w:t>Zichermann</w:t>
      </w:r>
      <w:proofErr w:type="spellEnd"/>
      <w:r w:rsidRPr="0008291E">
        <w:rPr>
          <w:rFonts w:asciiTheme="majorBidi" w:hAnsiTheme="majorBidi" w:cstheme="majorBidi"/>
          <w:b/>
          <w:bCs/>
          <w:rtl/>
        </w:rPr>
        <w:t xml:space="preserve"> &amp; </w:t>
      </w:r>
      <w:r w:rsidRPr="0008291E">
        <w:rPr>
          <w:rFonts w:asciiTheme="majorBidi" w:hAnsiTheme="majorBidi" w:cstheme="majorBidi"/>
          <w:b/>
          <w:bCs/>
        </w:rPr>
        <w:t>Kapp</w:t>
      </w:r>
      <w:r w:rsidRPr="0008291E">
        <w:rPr>
          <w:rFonts w:asciiTheme="majorBidi" w:hAnsiTheme="majorBidi" w:cstheme="majorBidi"/>
          <w:b/>
          <w:bCs/>
          <w:rtl/>
        </w:rPr>
        <w:t>).</w:t>
      </w:r>
    </w:p>
    <w:p w14:paraId="5D91A9DC" w14:textId="7BC7C694" w:rsidR="00E34918" w:rsidRPr="0008291E" w:rsidRDefault="00E34918" w:rsidP="00B94EF3">
      <w:pPr>
        <w:bidi/>
        <w:ind w:left="720" w:firstLine="720"/>
        <w:rPr>
          <w:rFonts w:asciiTheme="majorBidi" w:hAnsiTheme="majorBidi" w:cstheme="majorBidi"/>
          <w:b/>
          <w:bCs/>
          <w:rtl/>
        </w:rPr>
      </w:pPr>
      <w:r w:rsidRPr="0008291E">
        <w:rPr>
          <w:rFonts w:asciiTheme="majorBidi" w:hAnsiTheme="majorBidi" w:cstheme="majorBidi"/>
          <w:b/>
          <w:bCs/>
          <w:rtl/>
        </w:rPr>
        <w:t>فـالموعد النهائي للمهمة التعليمية المعتمدة على الحشد لا يمثل فقط قيدًا زمنيًا، بل قد يكون أداة تربوية تهدف إلى تنظيم جهود الطلاب وضمان حصولهم على التغذية الراجعة في وقتها المناسب (</w:t>
      </w:r>
      <w:r w:rsidRPr="0008291E">
        <w:rPr>
          <w:rFonts w:asciiTheme="majorBidi" w:hAnsiTheme="majorBidi" w:cstheme="majorBidi"/>
          <w:b/>
          <w:bCs/>
        </w:rPr>
        <w:t>cf. Schmitz</w:t>
      </w:r>
      <w:r w:rsidRPr="0008291E">
        <w:rPr>
          <w:rFonts w:asciiTheme="majorBidi" w:hAnsiTheme="majorBidi" w:cstheme="majorBidi"/>
          <w:b/>
          <w:bCs/>
          <w:rtl/>
        </w:rPr>
        <w:t xml:space="preserve"> &amp; </w:t>
      </w:r>
      <w:proofErr w:type="spellStart"/>
      <w:r w:rsidRPr="0008291E">
        <w:rPr>
          <w:rFonts w:asciiTheme="majorBidi" w:hAnsiTheme="majorBidi" w:cstheme="majorBidi"/>
          <w:b/>
          <w:bCs/>
        </w:rPr>
        <w:t>Lykourentzou</w:t>
      </w:r>
      <w:proofErr w:type="spellEnd"/>
      <w:r w:rsidRPr="0008291E">
        <w:rPr>
          <w:rFonts w:asciiTheme="majorBidi" w:hAnsiTheme="majorBidi" w:cstheme="majorBidi"/>
          <w:b/>
          <w:bCs/>
        </w:rPr>
        <w:t>, 2016</w:t>
      </w:r>
      <w:r w:rsidRPr="0008291E">
        <w:rPr>
          <w:rFonts w:asciiTheme="majorBidi" w:hAnsiTheme="majorBidi" w:cstheme="majorBidi"/>
          <w:b/>
          <w:bCs/>
          <w:rtl/>
        </w:rPr>
        <w:t>; وليد يوسف، ٢٠٢٠). ومرونة الوقت الممنوحة للطالب يجب أن توازن بين منحه التحكم في تعلمه وبين متطلبات المنهج الدراسي وجدول التقييم (</w:t>
      </w:r>
      <w:r w:rsidRPr="0008291E">
        <w:rPr>
          <w:rFonts w:asciiTheme="majorBidi" w:hAnsiTheme="majorBidi" w:cstheme="majorBidi"/>
          <w:b/>
          <w:bCs/>
        </w:rPr>
        <w:t>cf. Yin et al., 2017</w:t>
      </w:r>
      <w:r w:rsidRPr="0008291E">
        <w:rPr>
          <w:rFonts w:asciiTheme="majorBidi" w:hAnsiTheme="majorBidi" w:cstheme="majorBidi"/>
          <w:b/>
          <w:bCs/>
          <w:rtl/>
        </w:rPr>
        <w:t>; هند عباس، ٢٠١٧). </w:t>
      </w:r>
    </w:p>
    <w:p w14:paraId="382E3410" w14:textId="77777777" w:rsidR="00E34918" w:rsidRPr="0008291E" w:rsidRDefault="00E34918" w:rsidP="00E34918">
      <w:pPr>
        <w:bidi/>
        <w:ind w:left="720" w:firstLine="720"/>
        <w:rPr>
          <w:rFonts w:asciiTheme="majorBidi" w:hAnsiTheme="majorBidi" w:cstheme="majorBidi"/>
          <w:b/>
          <w:bCs/>
          <w:rtl/>
        </w:rPr>
      </w:pPr>
      <w:r w:rsidRPr="0008291E">
        <w:rPr>
          <w:rFonts w:asciiTheme="majorBidi" w:hAnsiTheme="majorBidi" w:cstheme="majorBidi"/>
          <w:b/>
          <w:bCs/>
          <w:rtl/>
        </w:rPr>
        <w:lastRenderedPageBreak/>
        <w:t xml:space="preserve">بالإضافة إلى تكييف المفاهيم العامة، يبرز في السياق التعليمي مفهوم "زمن استجابة المتعلم" كبعد زمني محوري. وهو يتعلق بشكل مباشر بكيفية تصميم الإطار الزمني المتاح للطلاب لإنجاز المهام التعليمية. تطرح الأدبيات التربوية نمطين رئيسيين هنا: النمط محدد الوقت، الذي يفرض إطارًا زمنيًا ثابتًا قد يحفز السرعة وتحديد الأولويات (عبد العزيز طلبة وآخرون، ٢٠٢٠؛ </w:t>
      </w:r>
      <w:proofErr w:type="spellStart"/>
      <w:r w:rsidRPr="0008291E">
        <w:rPr>
          <w:rFonts w:asciiTheme="majorBidi" w:hAnsiTheme="majorBidi" w:cstheme="majorBidi"/>
          <w:b/>
          <w:bCs/>
        </w:rPr>
        <w:t>Aseriskis</w:t>
      </w:r>
      <w:proofErr w:type="spellEnd"/>
      <w:r w:rsidRPr="0008291E">
        <w:rPr>
          <w:rFonts w:asciiTheme="majorBidi" w:hAnsiTheme="majorBidi" w:cstheme="majorBidi"/>
          <w:b/>
          <w:bCs/>
          <w:rtl/>
        </w:rPr>
        <w:t xml:space="preserve"> &amp; </w:t>
      </w:r>
      <w:proofErr w:type="spellStart"/>
      <w:r w:rsidRPr="0008291E">
        <w:rPr>
          <w:rFonts w:asciiTheme="majorBidi" w:hAnsiTheme="majorBidi" w:cstheme="majorBidi"/>
          <w:b/>
          <w:bCs/>
        </w:rPr>
        <w:t>Damasevicius</w:t>
      </w:r>
      <w:proofErr w:type="spellEnd"/>
      <w:r w:rsidRPr="0008291E">
        <w:rPr>
          <w:rFonts w:asciiTheme="majorBidi" w:hAnsiTheme="majorBidi" w:cstheme="majorBidi"/>
          <w:b/>
          <w:bCs/>
        </w:rPr>
        <w:t>, 2014</w:t>
      </w:r>
      <w:r w:rsidRPr="0008291E">
        <w:rPr>
          <w:rFonts w:asciiTheme="majorBidi" w:hAnsiTheme="majorBidi" w:cstheme="majorBidi"/>
          <w:b/>
          <w:bCs/>
          <w:rtl/>
        </w:rPr>
        <w:t xml:space="preserve">)، والنمط مفتوح الوقت، الذي يمنح الطالب حرية أكبر في إدارة وقته وقد يركز أكثر على السلوك النهائي دون التقيد بالزمن (هند عباس، ٢٠١٧؛ </w:t>
      </w:r>
      <w:r w:rsidRPr="0008291E">
        <w:rPr>
          <w:rFonts w:asciiTheme="majorBidi" w:hAnsiTheme="majorBidi" w:cstheme="majorBidi"/>
          <w:b/>
          <w:bCs/>
        </w:rPr>
        <w:t>Biro, 2013</w:t>
      </w:r>
      <w:r w:rsidRPr="0008291E">
        <w:rPr>
          <w:rFonts w:asciiTheme="majorBidi" w:hAnsiTheme="majorBidi" w:cstheme="majorBidi"/>
          <w:b/>
          <w:bCs/>
          <w:rtl/>
        </w:rPr>
        <w:t>). إن فهم الاختلافات بين هذين النمطين وتأثيرهما المحتمل على الطلاب في بيئة حشد المصادر التعليمية يعد أمرًا ضروريًا للتصميم الفعال.</w:t>
      </w:r>
    </w:p>
    <w:p w14:paraId="5F902D2A" w14:textId="77777777" w:rsidR="00E34918" w:rsidRPr="0008291E" w:rsidRDefault="00E34918" w:rsidP="00E34918">
      <w:pPr>
        <w:bidi/>
        <w:ind w:left="720" w:firstLine="720"/>
        <w:rPr>
          <w:rFonts w:asciiTheme="majorBidi" w:hAnsiTheme="majorBidi" w:cstheme="majorBidi"/>
          <w:b/>
          <w:bCs/>
          <w:rtl/>
        </w:rPr>
      </w:pPr>
      <w:r w:rsidRPr="0008291E">
        <w:rPr>
          <w:rFonts w:asciiTheme="majorBidi" w:hAnsiTheme="majorBidi" w:cstheme="majorBidi"/>
          <w:b/>
          <w:bCs/>
          <w:rtl/>
        </w:rPr>
        <w:t>إذًا، يتشكل مفهوم زمن حشد المصادر التعليمي كمزيج مركب. فهو يرتكز على الديناميكيات الزمنية الأساسية في حشد المصادر العام (كإدارة الإنجاز والقيود والمرونة)، ولكنه يتلون ويتأثر بالأهداف التربوية، وخصائص المتعلمين، ويبرز أهمية مفاهيم خاصة بالسياق التعليمي كزمن استجابة المتعلم. ونظرًا لأهمية التمييز بين الأنماط الزمنية المختلفة وتأثيرها المحتمل، سيهتم الباحث في هذه الدراسة بشكل خاص بفحص وتحليل نمطي زمن حشد المصادر: المفتوح (غير محدد الوقت) والمقيد (محدد الوقت) وتأثيرهما في السياق التعليمي.</w:t>
      </w:r>
    </w:p>
    <w:p w14:paraId="39219EEB" w14:textId="41D87F55" w:rsidR="00E34918" w:rsidRPr="0008291E" w:rsidRDefault="001A5CA6" w:rsidP="001A5CA6">
      <w:pPr>
        <w:pStyle w:val="Heading3"/>
        <w:bidi/>
        <w:rPr>
          <w:rFonts w:asciiTheme="majorBidi" w:hAnsiTheme="majorBidi"/>
          <w:rtl/>
        </w:rPr>
      </w:pPr>
      <w:r w:rsidRPr="0008291E">
        <w:rPr>
          <w:rFonts w:asciiTheme="majorBidi" w:hAnsiTheme="majorBidi"/>
          <w:rtl/>
        </w:rPr>
        <w:t>أهمية</w:t>
      </w:r>
      <w:r w:rsidR="00E34918" w:rsidRPr="0008291E">
        <w:rPr>
          <w:rFonts w:asciiTheme="majorBidi" w:hAnsiTheme="majorBidi"/>
          <w:rtl/>
        </w:rPr>
        <w:t xml:space="preserve"> زمن حشد المصادر</w:t>
      </w:r>
    </w:p>
    <w:p w14:paraId="59DA5E1C" w14:textId="77777777" w:rsidR="00E34918" w:rsidRPr="0008291E" w:rsidRDefault="00E34918" w:rsidP="00E34918">
      <w:pPr>
        <w:bidi/>
        <w:ind w:left="720" w:firstLine="720"/>
        <w:rPr>
          <w:rFonts w:asciiTheme="majorBidi" w:hAnsiTheme="majorBidi" w:cstheme="majorBidi"/>
          <w:b/>
          <w:bCs/>
          <w:rtl/>
        </w:rPr>
      </w:pPr>
      <w:r w:rsidRPr="0008291E">
        <w:rPr>
          <w:rFonts w:asciiTheme="majorBidi" w:hAnsiTheme="majorBidi" w:cstheme="majorBidi"/>
          <w:b/>
          <w:bCs/>
          <w:rtl/>
        </w:rPr>
        <w:t xml:space="preserve">ويعد عامل الزمن في حشد المصادر اساسيا حيث يشير (وليد يوسف، </w:t>
      </w:r>
      <w:r w:rsidRPr="0008291E">
        <w:rPr>
          <w:rFonts w:asciiTheme="majorBidi" w:hAnsiTheme="majorBidi" w:cstheme="majorBidi"/>
          <w:b/>
          <w:bCs/>
          <w:rtl/>
          <w:lang w:bidi="fa-IR"/>
        </w:rPr>
        <w:t>۲۰۲۰</w:t>
      </w:r>
      <w:r w:rsidRPr="0008291E">
        <w:rPr>
          <w:rFonts w:asciiTheme="majorBidi" w:hAnsiTheme="majorBidi" w:cstheme="majorBidi"/>
          <w:b/>
          <w:bCs/>
          <w:rtl/>
        </w:rPr>
        <w:t xml:space="preserve">، </w:t>
      </w:r>
      <w:r w:rsidRPr="0008291E">
        <w:rPr>
          <w:rFonts w:asciiTheme="majorBidi" w:hAnsiTheme="majorBidi" w:cstheme="majorBidi"/>
          <w:b/>
          <w:bCs/>
          <w:rtl/>
          <w:lang w:bidi="fa-IR"/>
        </w:rPr>
        <w:t xml:space="preserve">۱۱) </w:t>
      </w:r>
      <w:r w:rsidRPr="0008291E">
        <w:rPr>
          <w:rFonts w:asciiTheme="majorBidi" w:hAnsiTheme="majorBidi" w:cstheme="majorBidi"/>
          <w:b/>
          <w:bCs/>
          <w:rtl/>
        </w:rPr>
        <w:t>بأهميته في إعطاء المتعلمين فترة معينة من الوقت أو مهلة زمنية لإنجاز مهام محددة وهو ما يتفق وطبيعة المهام المطلوبة من المتعلمين في عملية حشد المصادر.</w:t>
      </w:r>
    </w:p>
    <w:p w14:paraId="29592F9D" w14:textId="77777777" w:rsidR="00E34918" w:rsidRPr="0008291E" w:rsidRDefault="00E34918" w:rsidP="00E34918">
      <w:pPr>
        <w:bidi/>
        <w:ind w:left="720" w:firstLine="720"/>
        <w:rPr>
          <w:rFonts w:asciiTheme="majorBidi" w:hAnsiTheme="majorBidi" w:cstheme="majorBidi"/>
          <w:b/>
          <w:bCs/>
          <w:rtl/>
        </w:rPr>
      </w:pPr>
      <w:r w:rsidRPr="0008291E">
        <w:rPr>
          <w:rFonts w:asciiTheme="majorBidi" w:hAnsiTheme="majorBidi" w:cstheme="majorBidi"/>
          <w:b/>
          <w:bCs/>
          <w:rtl/>
        </w:rPr>
        <w:t xml:space="preserve">يتوقف نجاح نمطي ممارسة الأنشطة التعليمية على عدد من العوامل والمتغيرات المؤثرة عليها، ومن أهمها زمن استجابة المتعلم على الأنشطة، فهو إعطاء المتعلم فترة زمنية محددة للاستجابة على الأنشطة التعليمية المقدمة له، وبهذا تتم الاستجابة في وقت محدد، أو أن يعطى المتعلم الحرية في تقديم الاستجابة عن الأنشطة وعدم تقيده بفترة زمنية محددة، وبهذا تتم الاستجابة في وقت غير محدد، ومن ثم تقيمها سواء كانت صحيحة أو خاطئة (هند عباس، ٢٠١٧، ص ٣٢٦)، وبذلك يقوم زمن الاستجابة بمجموعة من الوظائف التي تؤدي إلى تحسين عملية التعلم ومخرجاته، ومنها: أنه يصنع نوعاً من السرعة داخل المتعلمين حيث ينبغي عليهم أن يتمموا ويحددوا أولويات المهام التي يجب إنجازها (عبد العزيز طلبة، تامر الملاح، نادين كريت، </w:t>
      </w:r>
      <w:r w:rsidRPr="0008291E">
        <w:rPr>
          <w:rFonts w:asciiTheme="majorBidi" w:hAnsiTheme="majorBidi" w:cstheme="majorBidi"/>
          <w:b/>
          <w:bCs/>
          <w:rtl/>
          <w:lang w:bidi="fa-IR"/>
        </w:rPr>
        <w:t>۲۰۲۰</w:t>
      </w:r>
      <w:r w:rsidRPr="0008291E">
        <w:rPr>
          <w:rFonts w:asciiTheme="majorBidi" w:hAnsiTheme="majorBidi" w:cstheme="majorBidi"/>
          <w:b/>
          <w:bCs/>
          <w:rtl/>
        </w:rPr>
        <w:t>، ص ٩٦).تلك المهام التي تتفق  مع المصادر المطلوب حشدها لأداء  المهام المطلوبة</w:t>
      </w:r>
    </w:p>
    <w:p w14:paraId="7B0A6C56" w14:textId="0C5DE017" w:rsidR="00E34918" w:rsidRPr="0008291E" w:rsidRDefault="00E34918" w:rsidP="002C6213">
      <w:pPr>
        <w:bidi/>
        <w:ind w:left="720" w:firstLine="720"/>
        <w:rPr>
          <w:rFonts w:asciiTheme="majorBidi" w:hAnsiTheme="majorBidi" w:cstheme="majorBidi"/>
          <w:b/>
          <w:bCs/>
          <w:rtl/>
        </w:rPr>
      </w:pPr>
      <w:r w:rsidRPr="0008291E">
        <w:rPr>
          <w:rFonts w:asciiTheme="majorBidi" w:hAnsiTheme="majorBidi" w:cstheme="majorBidi"/>
          <w:b/>
          <w:bCs/>
          <w:rtl/>
        </w:rPr>
        <w:t xml:space="preserve">يوضح كل من </w:t>
      </w:r>
      <w:proofErr w:type="spellStart"/>
      <w:r w:rsidRPr="0008291E">
        <w:rPr>
          <w:rFonts w:asciiTheme="majorBidi" w:hAnsiTheme="majorBidi" w:cstheme="majorBidi"/>
          <w:b/>
          <w:bCs/>
          <w:rtl/>
        </w:rPr>
        <w:t>أسركسيس</w:t>
      </w:r>
      <w:proofErr w:type="spellEnd"/>
      <w:r w:rsidRPr="0008291E">
        <w:rPr>
          <w:rFonts w:asciiTheme="majorBidi" w:hAnsiTheme="majorBidi" w:cstheme="majorBidi"/>
          <w:b/>
          <w:bCs/>
          <w:rtl/>
        </w:rPr>
        <w:t xml:space="preserve"> </w:t>
      </w:r>
      <w:proofErr w:type="spellStart"/>
      <w:r w:rsidRPr="0008291E">
        <w:rPr>
          <w:rFonts w:asciiTheme="majorBidi" w:hAnsiTheme="majorBidi" w:cstheme="majorBidi"/>
          <w:b/>
          <w:bCs/>
          <w:rtl/>
        </w:rPr>
        <w:t>ودامافيشيوس</w:t>
      </w:r>
      <w:proofErr w:type="spellEnd"/>
      <w:r w:rsidRPr="0008291E">
        <w:rPr>
          <w:rFonts w:asciiTheme="majorBidi" w:hAnsiTheme="majorBidi" w:cstheme="majorBidi"/>
          <w:b/>
          <w:bCs/>
          <w:rtl/>
        </w:rPr>
        <w:t xml:space="preserve"> (8.</w:t>
      </w:r>
      <w:proofErr w:type="spellStart"/>
      <w:r w:rsidRPr="0008291E">
        <w:rPr>
          <w:rFonts w:asciiTheme="majorBidi" w:hAnsiTheme="majorBidi" w:cstheme="majorBidi"/>
          <w:b/>
          <w:bCs/>
        </w:rPr>
        <w:t>Aseriskis</w:t>
      </w:r>
      <w:proofErr w:type="spellEnd"/>
      <w:r w:rsidRPr="0008291E">
        <w:rPr>
          <w:rFonts w:asciiTheme="majorBidi" w:hAnsiTheme="majorBidi" w:cstheme="majorBidi"/>
          <w:b/>
          <w:bCs/>
          <w:rtl/>
        </w:rPr>
        <w:t>&amp;</w:t>
      </w:r>
      <w:proofErr w:type="spellStart"/>
      <w:r w:rsidRPr="0008291E">
        <w:rPr>
          <w:rFonts w:asciiTheme="majorBidi" w:hAnsiTheme="majorBidi" w:cstheme="majorBidi"/>
          <w:b/>
          <w:bCs/>
        </w:rPr>
        <w:t>Damasevicius</w:t>
      </w:r>
      <w:proofErr w:type="spellEnd"/>
      <w:r>
        <w:fldChar w:fldCharType="begin"/>
      </w:r>
      <w:r>
        <w:instrText>HYPERLINK "https://studcu-my.sharepoint.com/personal/12322020467232_pg_cu_edu_eg/Documents/%D8%A7%D9%84%D9%85%D8%A7%D8%AC%D8%B3%D8%AA%D9%8A%D8%B1/%D8%A7%D9%84%D8%A3%D8%B7%D8%A7%D8%B1%20%D8%A7%D9%84%D9%86%D8%B8%D8%B1%D9%8A%20%D9%86%D9%87%D8%A7%D8%A6%D9%8A.docx" \l "_msocom_1"</w:instrText>
      </w:r>
      <w:r>
        <w:fldChar w:fldCharType="separate"/>
      </w:r>
      <w:r w:rsidRPr="0008291E">
        <w:rPr>
          <w:rStyle w:val="Hyperlink"/>
          <w:rFonts w:asciiTheme="majorBidi" w:hAnsiTheme="majorBidi" w:cstheme="majorBidi"/>
          <w:b/>
          <w:bCs/>
          <w:rtl/>
        </w:rPr>
        <w:t>[اا1]</w:t>
      </w:r>
      <w:r>
        <w:fldChar w:fldCharType="end"/>
      </w:r>
      <w:r w:rsidRPr="0008291E">
        <w:rPr>
          <w:rFonts w:asciiTheme="majorBidi" w:hAnsiTheme="majorBidi" w:cstheme="majorBidi"/>
          <w:b/>
          <w:bCs/>
          <w:rtl/>
        </w:rPr>
        <w:t xml:space="preserve"> ,2014,</w:t>
      </w:r>
      <w:r w:rsidRPr="0008291E">
        <w:rPr>
          <w:rFonts w:asciiTheme="majorBidi" w:hAnsiTheme="majorBidi" w:cstheme="majorBidi"/>
          <w:b/>
          <w:bCs/>
        </w:rPr>
        <w:t>p</w:t>
      </w:r>
      <w:r w:rsidRPr="0008291E">
        <w:rPr>
          <w:rFonts w:asciiTheme="majorBidi" w:hAnsiTheme="majorBidi" w:cstheme="majorBidi"/>
          <w:b/>
          <w:bCs/>
          <w:rtl/>
        </w:rPr>
        <w:t xml:space="preserve">) أن من أهم خصائص نمط المهمة محدد الوقت الوضوح والقابلية للتحقق ووضع حد زمني لانتهاء المهمة، مما يعمل على زيادة المنافسة بين المتعلمين، واكتساب المعرفة والمهارة عند تنفيذ المهام المطلوبة، مع الأخذ في الاعتبار الإطار الزمني المحدد لإتمام المهام التي هي العنصر الأساسي </w:t>
      </w:r>
      <w:proofErr w:type="spellStart"/>
      <w:r w:rsidRPr="0008291E">
        <w:rPr>
          <w:rFonts w:asciiTheme="majorBidi" w:hAnsiTheme="majorBidi" w:cstheme="majorBidi"/>
          <w:b/>
          <w:bCs/>
          <w:rtl/>
        </w:rPr>
        <w:t>لاتمام</w:t>
      </w:r>
      <w:proofErr w:type="spellEnd"/>
      <w:r w:rsidRPr="0008291E">
        <w:rPr>
          <w:rFonts w:asciiTheme="majorBidi" w:hAnsiTheme="majorBidi" w:cstheme="majorBidi"/>
          <w:b/>
          <w:bCs/>
          <w:rtl/>
        </w:rPr>
        <w:t xml:space="preserve"> حشد المصادر.  </w:t>
      </w:r>
    </w:p>
    <w:p w14:paraId="59EB18C6" w14:textId="4EAAE58D" w:rsidR="00E34918" w:rsidRPr="0008291E" w:rsidRDefault="00E34918" w:rsidP="001A5CA6">
      <w:pPr>
        <w:pStyle w:val="Heading3"/>
        <w:bidi/>
        <w:rPr>
          <w:rFonts w:asciiTheme="majorBidi" w:hAnsiTheme="majorBidi"/>
          <w:rtl/>
        </w:rPr>
      </w:pPr>
      <w:r w:rsidRPr="0008291E">
        <w:rPr>
          <w:rFonts w:asciiTheme="majorBidi" w:hAnsiTheme="majorBidi"/>
          <w:rtl/>
        </w:rPr>
        <w:t>الدراسات التي تناولت زمن حشد المصادر:</w:t>
      </w:r>
    </w:p>
    <w:p w14:paraId="2B2255BF"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اكدت دراسة (</w:t>
      </w:r>
      <w:r w:rsidRPr="0008291E">
        <w:rPr>
          <w:rFonts w:asciiTheme="majorBidi" w:hAnsiTheme="majorBidi" w:cstheme="majorBidi"/>
          <w:sz w:val="28"/>
          <w:szCs w:val="28"/>
        </w:rPr>
        <w:t>Keng Yang 2019</w:t>
      </w:r>
      <w:r w:rsidRPr="0008291E">
        <w:rPr>
          <w:rFonts w:asciiTheme="majorBidi" w:hAnsiTheme="majorBidi" w:cstheme="majorBidi"/>
          <w:sz w:val="28"/>
          <w:szCs w:val="28"/>
          <w:rtl/>
        </w:rPr>
        <w:t>) أن الزمن يُعتبر عاملًا جوهريًا في المسابقات الإلكترونية لحشد المصادر. حيث أشارت الدراسة إلى أن الوقت الذي يخصصه المشارك يُعبر عن مدى الجهد والالتزام المبذولين، مما يؤدي إلى حلول ذات جودة أعلى وفرصة أكبر للفوز. كما أوضحت العلاقة بين طول مدة المهمة وأداء المشاركين، حيث يؤدي الوقت الأطول إلى جودة أفضل حتى حد معين، ثم تنخفض الفائدة مع زيادة المدة. علاوةً على ذلك، فإن سرعة تقديم التغذية الراجعة من طالب المهمة تزيد من الإبداع وتحسن النتائج النهائية.</w:t>
      </w:r>
    </w:p>
    <w:p w14:paraId="5F4056DA"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lastRenderedPageBreak/>
        <w:t>أكدت دراسة (</w:t>
      </w:r>
      <w:r w:rsidRPr="0008291E">
        <w:rPr>
          <w:rFonts w:asciiTheme="majorBidi" w:hAnsiTheme="majorBidi" w:cstheme="majorBidi"/>
          <w:sz w:val="28"/>
          <w:szCs w:val="28"/>
        </w:rPr>
        <w:t>Heinz Schmitz2018</w:t>
      </w:r>
      <w:r w:rsidRPr="0008291E">
        <w:rPr>
          <w:rFonts w:asciiTheme="majorBidi" w:hAnsiTheme="majorBidi" w:cstheme="majorBidi"/>
          <w:sz w:val="28"/>
          <w:szCs w:val="28"/>
          <w:rtl/>
        </w:rPr>
        <w:t>) على ان الزمن عنصر حاسم ومهم في عملية تصميم مهمة حشد المصادر، حيث ان من اهم نتائج الدراسة تحسن في أداء المهام المعقدة وعدد المهام المكتملة عند التقيد بعامل الزمن على عكس المهام المفتوحة.</w:t>
      </w:r>
    </w:p>
    <w:p w14:paraId="4250DA90"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أوصت عديد من البحوث والدراسات التي نادت بضرورة الاهتمام بزمن الاستجابة محددة، وغير محددة(مفتوحة) الوقت كأحد المتغيرات المهمة المؤثرة على نجاح الأنشطة التعليمية، مثل دراسة أسماء عبد الصمد، </w:t>
      </w:r>
      <w:r w:rsidRPr="0008291E">
        <w:rPr>
          <w:rFonts w:asciiTheme="majorBidi" w:hAnsiTheme="majorBidi" w:cstheme="majorBidi"/>
          <w:sz w:val="28"/>
          <w:szCs w:val="28"/>
          <w:rtl/>
          <w:lang w:bidi="fa-IR"/>
        </w:rPr>
        <w:t>۲۰۱۸</w:t>
      </w:r>
      <w:r w:rsidRPr="0008291E">
        <w:rPr>
          <w:rFonts w:asciiTheme="majorBidi" w:hAnsiTheme="majorBidi" w:cstheme="majorBidi"/>
          <w:sz w:val="28"/>
          <w:szCs w:val="28"/>
          <w:rtl/>
        </w:rPr>
        <w:t xml:space="preserve"> ص ٣٤؛ عبد العزيز طلبة تامر الملاح </w:t>
      </w:r>
      <w:proofErr w:type="spellStart"/>
      <w:r w:rsidRPr="0008291E">
        <w:rPr>
          <w:rFonts w:asciiTheme="majorBidi" w:hAnsiTheme="majorBidi" w:cstheme="majorBidi"/>
          <w:sz w:val="28"/>
          <w:szCs w:val="28"/>
          <w:rtl/>
        </w:rPr>
        <w:t>نادین</w:t>
      </w:r>
      <w:proofErr w:type="spellEnd"/>
      <w:r w:rsidRPr="0008291E">
        <w:rPr>
          <w:rFonts w:asciiTheme="majorBidi" w:hAnsiTheme="majorBidi" w:cstheme="majorBidi"/>
          <w:sz w:val="28"/>
          <w:szCs w:val="28"/>
          <w:rtl/>
        </w:rPr>
        <w:t xml:space="preserve"> </w:t>
      </w:r>
      <w:proofErr w:type="spellStart"/>
      <w:r w:rsidRPr="0008291E">
        <w:rPr>
          <w:rFonts w:asciiTheme="majorBidi" w:hAnsiTheme="majorBidi" w:cstheme="majorBidi"/>
          <w:sz w:val="28"/>
          <w:szCs w:val="28"/>
          <w:rtl/>
        </w:rPr>
        <w:t>کریت</w:t>
      </w:r>
      <w:proofErr w:type="spellEnd"/>
      <w:r w:rsidRPr="0008291E">
        <w:rPr>
          <w:rFonts w:asciiTheme="majorBidi" w:hAnsiTheme="majorBidi" w:cstheme="majorBidi"/>
          <w:sz w:val="28"/>
          <w:szCs w:val="28"/>
          <w:rtl/>
        </w:rPr>
        <w:t xml:space="preserve">، </w:t>
      </w:r>
      <w:r w:rsidRPr="0008291E">
        <w:rPr>
          <w:rFonts w:asciiTheme="majorBidi" w:hAnsiTheme="majorBidi" w:cstheme="majorBidi"/>
          <w:sz w:val="28"/>
          <w:szCs w:val="28"/>
          <w:rtl/>
          <w:lang w:bidi="fa-IR"/>
        </w:rPr>
        <w:t>۲۰۲۰</w:t>
      </w:r>
      <w:r w:rsidRPr="0008291E">
        <w:rPr>
          <w:rFonts w:asciiTheme="majorBidi" w:hAnsiTheme="majorBidi" w:cstheme="majorBidi"/>
          <w:sz w:val="28"/>
          <w:szCs w:val="28"/>
          <w:rtl/>
        </w:rPr>
        <w:t xml:space="preserve">، ص ٩٦؛ ذكريا حناوي، </w:t>
      </w:r>
      <w:r w:rsidRPr="0008291E">
        <w:rPr>
          <w:rFonts w:asciiTheme="majorBidi" w:hAnsiTheme="majorBidi" w:cstheme="majorBidi"/>
          <w:sz w:val="28"/>
          <w:szCs w:val="28"/>
          <w:rtl/>
          <w:lang w:bidi="fa-IR"/>
        </w:rPr>
        <w:t>۲۰۱۹</w:t>
      </w:r>
      <w:r w:rsidRPr="0008291E">
        <w:rPr>
          <w:rFonts w:asciiTheme="majorBidi" w:hAnsiTheme="majorBidi" w:cstheme="majorBidi"/>
          <w:sz w:val="28"/>
          <w:szCs w:val="28"/>
          <w:rtl/>
        </w:rPr>
        <w:t xml:space="preserve">، ص </w:t>
      </w:r>
      <w:r w:rsidRPr="0008291E">
        <w:rPr>
          <w:rFonts w:asciiTheme="majorBidi" w:hAnsiTheme="majorBidi" w:cstheme="majorBidi"/>
          <w:sz w:val="28"/>
          <w:szCs w:val="28"/>
        </w:rPr>
        <w:t>Azevedo al., 2022, p.131; Luo, 2022; Rodil, et al., 2022, p82</w:t>
      </w:r>
      <w:r w:rsidRPr="0008291E">
        <w:rPr>
          <w:rFonts w:asciiTheme="majorBidi" w:hAnsiTheme="majorBidi" w:cstheme="majorBidi"/>
          <w:sz w:val="28"/>
          <w:szCs w:val="28"/>
          <w:rtl/>
        </w:rPr>
        <w:t>).</w:t>
      </w:r>
    </w:p>
    <w:p w14:paraId="32DD9956"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كما يذكر بيرو (347.</w:t>
      </w:r>
      <w:r w:rsidRPr="0008291E">
        <w:rPr>
          <w:rFonts w:asciiTheme="majorBidi" w:hAnsiTheme="majorBidi" w:cstheme="majorBidi"/>
          <w:sz w:val="28"/>
          <w:szCs w:val="28"/>
        </w:rPr>
        <w:t>Biro,2013,p</w:t>
      </w:r>
      <w:r w:rsidRPr="0008291E">
        <w:rPr>
          <w:rFonts w:asciiTheme="majorBidi" w:hAnsiTheme="majorBidi" w:cstheme="majorBidi"/>
          <w:sz w:val="28"/>
          <w:szCs w:val="28"/>
          <w:rtl/>
        </w:rPr>
        <w:t>) أن نمط المهمة مفتوح الوقت ليس له حدود زمنية وإنما نقطة نهايته هي نهاية البرنامج أو الدورة التدريبية وسلوك المتعلم هو الهدف دون الاهتمام بوقت المهمة.</w:t>
      </w:r>
    </w:p>
    <w:p w14:paraId="7A50359B"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واستنادًا إلى مراجعة لعدة بحوث ودراسات تجريبية لهذين النمطين على تطوير عدة متغيرات تابعة، وبينها فئات مختلفة من المتعلمين، فإنه تبين أهمية تصميم الزمن في اداء الأنشطة والمهام التعليمية. </w:t>
      </w:r>
      <w:proofErr w:type="spellStart"/>
      <w:r w:rsidRPr="0008291E">
        <w:rPr>
          <w:rFonts w:asciiTheme="majorBidi" w:hAnsiTheme="majorBidi" w:cstheme="majorBidi"/>
          <w:sz w:val="28"/>
          <w:szCs w:val="28"/>
        </w:rPr>
        <w:t>Livero</w:t>
      </w:r>
      <w:proofErr w:type="spellEnd"/>
      <w:r w:rsidRPr="0008291E">
        <w:rPr>
          <w:rFonts w:asciiTheme="majorBidi" w:hAnsiTheme="majorBidi" w:cstheme="majorBidi"/>
          <w:sz w:val="28"/>
          <w:szCs w:val="28"/>
        </w:rPr>
        <w:t>, Silva, Amaral</w:t>
      </w:r>
      <w:r w:rsidRPr="0008291E">
        <w:rPr>
          <w:rFonts w:asciiTheme="majorBidi" w:hAnsiTheme="majorBidi" w:cstheme="majorBidi"/>
          <w:sz w:val="28"/>
          <w:szCs w:val="28"/>
          <w:rtl/>
        </w:rPr>
        <w:t xml:space="preserve">, </w:t>
      </w:r>
      <w:r w:rsidRPr="0008291E">
        <w:rPr>
          <w:rFonts w:asciiTheme="majorBidi" w:hAnsiTheme="majorBidi" w:cstheme="majorBidi"/>
          <w:sz w:val="28"/>
          <w:szCs w:val="28"/>
        </w:rPr>
        <w:t>Souza, Baretta, Diegues</w:t>
      </w:r>
      <w:r w:rsidRPr="0008291E">
        <w:rPr>
          <w:rFonts w:asciiTheme="majorBidi" w:hAnsiTheme="majorBidi" w:cstheme="majorBidi"/>
          <w:sz w:val="28"/>
          <w:szCs w:val="28"/>
          <w:rtl/>
        </w:rPr>
        <w:t>, و</w:t>
      </w:r>
      <w:r w:rsidRPr="0008291E">
        <w:rPr>
          <w:rFonts w:asciiTheme="majorBidi" w:hAnsiTheme="majorBidi" w:cstheme="majorBidi"/>
          <w:sz w:val="28"/>
          <w:szCs w:val="28"/>
        </w:rPr>
        <w:t>Lovat</w:t>
      </w:r>
      <w:r w:rsidRPr="0008291E">
        <w:rPr>
          <w:rFonts w:asciiTheme="majorBidi" w:hAnsiTheme="majorBidi" w:cstheme="majorBidi"/>
          <w:sz w:val="28"/>
          <w:szCs w:val="28"/>
          <w:rtl/>
        </w:rPr>
        <w:t xml:space="preserve"> (2021)</w:t>
      </w:r>
    </w:p>
    <w:p w14:paraId="72257271"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كما كان هناك تضارب واضح في نتائج هذه الدراسات، فلم يتم الوصول إلى أفضلية أحدهما على الآخر، فبعضها أثبتت نتائجه تفوق زمن الاستجابة المحددة بوقت، مثل دراسة أسماء عبد الصمد، </w:t>
      </w:r>
      <w:r w:rsidRPr="0008291E">
        <w:rPr>
          <w:rFonts w:asciiTheme="majorBidi" w:hAnsiTheme="majorBidi" w:cstheme="majorBidi"/>
          <w:sz w:val="28"/>
          <w:szCs w:val="28"/>
          <w:rtl/>
          <w:lang w:bidi="fa-IR"/>
        </w:rPr>
        <w:t>۲۰۱۸</w:t>
      </w:r>
      <w:r w:rsidRPr="0008291E">
        <w:rPr>
          <w:rFonts w:asciiTheme="majorBidi" w:hAnsiTheme="majorBidi" w:cstheme="majorBidi"/>
          <w:sz w:val="28"/>
          <w:szCs w:val="28"/>
          <w:rtl/>
        </w:rPr>
        <w:t xml:space="preserve">؛ 2021، </w:t>
      </w:r>
      <w:proofErr w:type="spellStart"/>
      <w:r w:rsidRPr="0008291E">
        <w:rPr>
          <w:rFonts w:asciiTheme="majorBidi" w:hAnsiTheme="majorBidi" w:cstheme="majorBidi"/>
          <w:sz w:val="28"/>
          <w:szCs w:val="28"/>
        </w:rPr>
        <w:t>Areed</w:t>
      </w:r>
      <w:proofErr w:type="spellEnd"/>
      <w:r w:rsidRPr="0008291E">
        <w:rPr>
          <w:rFonts w:asciiTheme="majorBidi" w:hAnsiTheme="majorBidi" w:cstheme="majorBidi"/>
          <w:sz w:val="28"/>
          <w:szCs w:val="28"/>
          <w:rtl/>
        </w:rPr>
        <w:t xml:space="preserve">، </w:t>
      </w:r>
      <w:r w:rsidRPr="0008291E">
        <w:rPr>
          <w:rFonts w:asciiTheme="majorBidi" w:hAnsiTheme="majorBidi" w:cstheme="majorBidi"/>
          <w:sz w:val="28"/>
          <w:szCs w:val="28"/>
        </w:rPr>
        <w:t>et al (2021)</w:t>
      </w:r>
      <w:r w:rsidRPr="0008291E">
        <w:rPr>
          <w:rFonts w:asciiTheme="majorBidi" w:hAnsiTheme="majorBidi" w:cstheme="majorBidi"/>
          <w:sz w:val="28"/>
          <w:szCs w:val="28"/>
          <w:rtl/>
        </w:rPr>
        <w:t xml:space="preserve">، </w:t>
      </w:r>
      <w:r w:rsidRPr="0008291E">
        <w:rPr>
          <w:rFonts w:asciiTheme="majorBidi" w:hAnsiTheme="majorBidi" w:cstheme="majorBidi"/>
          <w:sz w:val="28"/>
          <w:szCs w:val="28"/>
        </w:rPr>
        <w:t>Liver et al</w:t>
      </w:r>
      <w:r w:rsidRPr="0008291E">
        <w:rPr>
          <w:rFonts w:asciiTheme="majorBidi" w:hAnsiTheme="majorBidi" w:cstheme="majorBidi"/>
          <w:sz w:val="28"/>
          <w:szCs w:val="28"/>
          <w:rtl/>
        </w:rPr>
        <w:t xml:space="preserve">، والبعض الآخر كان التفوق لزمن الاستجابة غير المحدد بوقت، مثل دراسة نهاري بن ياسين، </w:t>
      </w:r>
      <w:r w:rsidRPr="0008291E">
        <w:rPr>
          <w:rFonts w:asciiTheme="majorBidi" w:hAnsiTheme="majorBidi" w:cstheme="majorBidi"/>
          <w:sz w:val="28"/>
          <w:szCs w:val="28"/>
          <w:rtl/>
          <w:lang w:bidi="fa-IR"/>
        </w:rPr>
        <w:t>۲۰۱۲</w:t>
      </w:r>
      <w:r w:rsidRPr="0008291E">
        <w:rPr>
          <w:rFonts w:asciiTheme="majorBidi" w:hAnsiTheme="majorBidi" w:cstheme="majorBidi"/>
          <w:sz w:val="28"/>
          <w:szCs w:val="28"/>
          <w:rtl/>
        </w:rPr>
        <w:t>؛ هند عباس، (</w:t>
      </w:r>
      <w:r w:rsidRPr="0008291E">
        <w:rPr>
          <w:rFonts w:asciiTheme="majorBidi" w:hAnsiTheme="majorBidi" w:cstheme="majorBidi"/>
          <w:sz w:val="28"/>
          <w:szCs w:val="28"/>
          <w:rtl/>
          <w:lang w:bidi="fa-IR"/>
        </w:rPr>
        <w:t>۲۰۱۷)</w:t>
      </w:r>
      <w:r w:rsidRPr="0008291E">
        <w:rPr>
          <w:rFonts w:asciiTheme="majorBidi" w:hAnsiTheme="majorBidi" w:cstheme="majorBidi"/>
          <w:sz w:val="28"/>
          <w:szCs w:val="28"/>
          <w:rtl/>
        </w:rPr>
        <w:t xml:space="preserve">، أو تساوى الفاعلية لزمن الاستجابة للأنشطة، مثل دراسة أيمن الجوهري، </w:t>
      </w:r>
      <w:r w:rsidRPr="0008291E">
        <w:rPr>
          <w:rFonts w:asciiTheme="majorBidi" w:hAnsiTheme="majorBidi" w:cstheme="majorBidi"/>
          <w:sz w:val="28"/>
          <w:szCs w:val="28"/>
          <w:rtl/>
          <w:lang w:bidi="fa-IR"/>
        </w:rPr>
        <w:t xml:space="preserve">۲۰۱۲. </w:t>
      </w:r>
      <w:r w:rsidRPr="0008291E">
        <w:rPr>
          <w:rFonts w:asciiTheme="majorBidi" w:hAnsiTheme="majorBidi" w:cstheme="majorBidi"/>
          <w:sz w:val="28"/>
          <w:szCs w:val="28"/>
          <w:rtl/>
        </w:rPr>
        <w:t>وهذا الجدل الذي لم يتم حسمه دفع البحث الحالي لتحديد زمن الاستجابة للأنشطة (محددة، وغير محددة الوقت).</w:t>
      </w:r>
    </w:p>
    <w:p w14:paraId="7F76B913" w14:textId="77777777" w:rsidR="00686C10" w:rsidRPr="0008291E" w:rsidRDefault="00686C10" w:rsidP="00E34918">
      <w:pPr>
        <w:bidi/>
        <w:ind w:left="720" w:firstLine="720"/>
        <w:rPr>
          <w:rFonts w:asciiTheme="majorBidi" w:hAnsiTheme="majorBidi" w:cstheme="majorBidi"/>
          <w:b/>
          <w:bCs/>
          <w:rtl/>
        </w:rPr>
      </w:pPr>
    </w:p>
    <w:p w14:paraId="21A45210" w14:textId="6568C5BC" w:rsidR="00E34918" w:rsidRPr="0008291E" w:rsidRDefault="00E34918" w:rsidP="00686C10">
      <w:pPr>
        <w:bidi/>
        <w:ind w:left="720" w:firstLine="720"/>
        <w:rPr>
          <w:rFonts w:asciiTheme="majorBidi" w:hAnsiTheme="majorBidi" w:cstheme="majorBidi"/>
          <w:b/>
          <w:bCs/>
          <w:rtl/>
        </w:rPr>
      </w:pPr>
      <w:r w:rsidRPr="0008291E">
        <w:rPr>
          <w:rFonts w:asciiTheme="majorBidi" w:hAnsiTheme="majorBidi" w:cstheme="majorBidi"/>
          <w:b/>
          <w:bCs/>
          <w:rtl/>
        </w:rPr>
        <w:t> </w:t>
      </w:r>
    </w:p>
    <w:p w14:paraId="20065B84" w14:textId="77777777" w:rsidR="00851CF6" w:rsidRPr="0008291E" w:rsidRDefault="00E34918" w:rsidP="00851CF6">
      <w:pPr>
        <w:pStyle w:val="Heading2"/>
        <w:bidi/>
        <w:rPr>
          <w:rFonts w:asciiTheme="majorBidi" w:hAnsiTheme="majorBidi"/>
          <w:rtl/>
        </w:rPr>
      </w:pPr>
      <w:r w:rsidRPr="0008291E">
        <w:rPr>
          <w:rFonts w:asciiTheme="majorBidi" w:hAnsiTheme="majorBidi"/>
          <w:rtl/>
        </w:rPr>
        <w:t> الأصول النظرية لحشد المصادر:</w:t>
      </w:r>
    </w:p>
    <w:p w14:paraId="37ECF0C7" w14:textId="3841A8CC" w:rsidR="00E34918" w:rsidRPr="0008291E" w:rsidRDefault="00E34918" w:rsidP="00686C10">
      <w:pPr>
        <w:bidi/>
        <w:rPr>
          <w:rFonts w:asciiTheme="majorBidi" w:hAnsiTheme="majorBidi" w:cstheme="majorBidi"/>
          <w:b/>
          <w:bCs/>
          <w:sz w:val="40"/>
          <w:szCs w:val="40"/>
          <w:rtl/>
        </w:rPr>
      </w:pPr>
      <w:r w:rsidRPr="0008291E">
        <w:rPr>
          <w:rFonts w:asciiTheme="majorBidi" w:hAnsiTheme="majorBidi" w:cstheme="majorBidi"/>
          <w:b/>
          <w:bCs/>
          <w:sz w:val="32"/>
          <w:szCs w:val="32"/>
          <w:rtl/>
        </w:rPr>
        <w:br/>
        <w:t xml:space="preserve"> أولاً: نظرية المعرفة الموزعة (</w:t>
      </w:r>
      <w:r w:rsidRPr="0008291E">
        <w:rPr>
          <w:rFonts w:asciiTheme="majorBidi" w:hAnsiTheme="majorBidi" w:cstheme="majorBidi"/>
          <w:b/>
          <w:bCs/>
          <w:sz w:val="32"/>
          <w:szCs w:val="32"/>
        </w:rPr>
        <w:t>Distributed Cognition Theory</w:t>
      </w:r>
      <w:r w:rsidRPr="0008291E">
        <w:rPr>
          <w:rFonts w:asciiTheme="majorBidi" w:hAnsiTheme="majorBidi" w:cstheme="majorBidi"/>
          <w:b/>
          <w:bCs/>
          <w:sz w:val="32"/>
          <w:szCs w:val="32"/>
          <w:rtl/>
        </w:rPr>
        <w:t>)</w:t>
      </w:r>
    </w:p>
    <w:p w14:paraId="17DDC847"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تمثل نظرية المعرفة الموزعة إطاراً معرفياً يتجاوز نطاق العمليات المعرفية الفردية، فهي تنبثق من خلال التفاعلات الاجتماعية، وكذلك عبر التفاعل بين الأشخاص والأدوات والمحيط. وقد أسس هذا الطرح إدوين </w:t>
      </w:r>
      <w:proofErr w:type="spellStart"/>
      <w:r w:rsidRPr="0008291E">
        <w:rPr>
          <w:rFonts w:asciiTheme="majorBidi" w:hAnsiTheme="majorBidi" w:cstheme="majorBidi"/>
          <w:sz w:val="28"/>
          <w:szCs w:val="28"/>
          <w:rtl/>
        </w:rPr>
        <w:t>هاتشينز</w:t>
      </w:r>
      <w:proofErr w:type="spellEnd"/>
      <w:r w:rsidRPr="0008291E">
        <w:rPr>
          <w:rFonts w:asciiTheme="majorBidi" w:hAnsiTheme="majorBidi" w:cstheme="majorBidi"/>
          <w:sz w:val="28"/>
          <w:szCs w:val="28"/>
          <w:rtl/>
        </w:rPr>
        <w:t xml:space="preserve"> (</w:t>
      </w:r>
      <w:r w:rsidRPr="0008291E">
        <w:rPr>
          <w:rFonts w:asciiTheme="majorBidi" w:hAnsiTheme="majorBidi" w:cstheme="majorBidi"/>
          <w:sz w:val="28"/>
          <w:szCs w:val="28"/>
        </w:rPr>
        <w:t>Edwin Hutchins</w:t>
      </w:r>
      <w:r w:rsidRPr="0008291E">
        <w:rPr>
          <w:rFonts w:asciiTheme="majorBidi" w:hAnsiTheme="majorBidi" w:cstheme="majorBidi"/>
          <w:sz w:val="28"/>
          <w:szCs w:val="28"/>
          <w:rtl/>
        </w:rPr>
        <w:t>) في منتصف ثمانينيات القرن العشرين (</w:t>
      </w:r>
      <w:r w:rsidRPr="0008291E">
        <w:rPr>
          <w:rFonts w:asciiTheme="majorBidi" w:hAnsiTheme="majorBidi" w:cstheme="majorBidi"/>
          <w:sz w:val="28"/>
          <w:szCs w:val="28"/>
        </w:rPr>
        <w:t>Hutchins, 1995</w:t>
      </w:r>
      <w:r w:rsidRPr="0008291E">
        <w:rPr>
          <w:rFonts w:asciiTheme="majorBidi" w:hAnsiTheme="majorBidi" w:cstheme="majorBidi"/>
          <w:sz w:val="28"/>
          <w:szCs w:val="28"/>
          <w:rtl/>
        </w:rPr>
        <w:t>). تهدف هذه النظرية إلى استيعاب كيفية تنظيم النظم المعرفية، وتفترض أن المعرفة لا تقتصر على داخل الأفراد، بل يُتوصل إليها عبر التفاعل بين الأشخاص والمصادر والعناصر المادية في البيئة.</w:t>
      </w:r>
    </w:p>
    <w:p w14:paraId="3259184C"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lastRenderedPageBreak/>
        <w:t>يشكل مفهوم النظام المعرفي الأساس في نظرية المعرفة الموزعة. والنظام المعرفي لا ينحصر في فرد واحد، ولكنه يضم كافة الأفراد المنخرطين في العملية التعليمية، ويتقاسمون استخدام الأدوات والبيئة عند إنجاز مهمة محددة. وهو بذلك يُبرز أهمية تبادل المعرفة، ويعتبر من المبادئ الرئيسية التي يرتكز عليها حشد المصادر.</w:t>
      </w:r>
    </w:p>
    <w:p w14:paraId="1F05E08C"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وقد أوضح </w:t>
      </w:r>
      <w:r w:rsidRPr="0008291E">
        <w:rPr>
          <w:rFonts w:asciiTheme="majorBidi" w:hAnsiTheme="majorBidi" w:cstheme="majorBidi"/>
          <w:sz w:val="28"/>
          <w:szCs w:val="28"/>
        </w:rPr>
        <w:t>Ellis )2019</w:t>
      </w:r>
      <w:r w:rsidRPr="0008291E">
        <w:rPr>
          <w:rFonts w:asciiTheme="majorBidi" w:hAnsiTheme="majorBidi" w:cstheme="majorBidi"/>
          <w:sz w:val="28"/>
          <w:szCs w:val="28"/>
          <w:rtl/>
        </w:rPr>
        <w:t>(وتقوم هذه النظرية على عدة مبادئ يُمكن الإفادة منها عند تصميم بيئة التعلم الإلكترونية القائمة على حشد المصادر، منها:</w:t>
      </w:r>
    </w:p>
    <w:p w14:paraId="3F841288" w14:textId="77777777" w:rsidR="00E34918" w:rsidRPr="0008291E" w:rsidRDefault="00E34918" w:rsidP="00851CF6">
      <w:pPr>
        <w:numPr>
          <w:ilvl w:val="0"/>
          <w:numId w:val="6"/>
        </w:numPr>
        <w:bidi/>
        <w:jc w:val="both"/>
        <w:rPr>
          <w:rFonts w:asciiTheme="majorBidi" w:hAnsiTheme="majorBidi" w:cstheme="majorBidi"/>
          <w:sz w:val="28"/>
          <w:szCs w:val="28"/>
          <w:rtl/>
        </w:rPr>
      </w:pPr>
      <w:r w:rsidRPr="0008291E">
        <w:rPr>
          <w:rFonts w:asciiTheme="majorBidi" w:hAnsiTheme="majorBidi" w:cstheme="majorBidi"/>
          <w:sz w:val="28"/>
          <w:szCs w:val="28"/>
          <w:rtl/>
        </w:rPr>
        <w:t>أن المعرفة لا تُعالج بواسطة فرد واحد فقط، بل يمكن أن تتوزع بين عدة أفراد أو أدوات تقنية.</w:t>
      </w:r>
    </w:p>
    <w:p w14:paraId="48C7C3AC" w14:textId="77777777" w:rsidR="00E34918" w:rsidRPr="0008291E" w:rsidRDefault="00E34918" w:rsidP="00851CF6">
      <w:pPr>
        <w:numPr>
          <w:ilvl w:val="0"/>
          <w:numId w:val="6"/>
        </w:numPr>
        <w:bidi/>
        <w:jc w:val="both"/>
        <w:rPr>
          <w:rFonts w:asciiTheme="majorBidi" w:hAnsiTheme="majorBidi" w:cstheme="majorBidi"/>
          <w:sz w:val="28"/>
          <w:szCs w:val="28"/>
          <w:rtl/>
        </w:rPr>
      </w:pPr>
      <w:r w:rsidRPr="0008291E">
        <w:rPr>
          <w:rFonts w:asciiTheme="majorBidi" w:hAnsiTheme="majorBidi" w:cstheme="majorBidi"/>
          <w:sz w:val="28"/>
          <w:szCs w:val="28"/>
          <w:rtl/>
        </w:rPr>
        <w:t>يمكن أن تمتد المعالجة المعرفية عبر الزمن، حيث تؤثر نتائج الأحداث السابقة على الأحداث التالية.</w:t>
      </w:r>
    </w:p>
    <w:p w14:paraId="32AA7647" w14:textId="77777777" w:rsidR="00E34918" w:rsidRPr="0008291E" w:rsidRDefault="00E34918" w:rsidP="00851CF6">
      <w:pPr>
        <w:numPr>
          <w:ilvl w:val="0"/>
          <w:numId w:val="6"/>
        </w:numPr>
        <w:bidi/>
        <w:jc w:val="both"/>
        <w:rPr>
          <w:rFonts w:asciiTheme="majorBidi" w:hAnsiTheme="majorBidi" w:cstheme="majorBidi"/>
          <w:sz w:val="28"/>
          <w:szCs w:val="28"/>
          <w:rtl/>
        </w:rPr>
      </w:pPr>
      <w:r w:rsidRPr="0008291E">
        <w:rPr>
          <w:rFonts w:asciiTheme="majorBidi" w:hAnsiTheme="majorBidi" w:cstheme="majorBidi"/>
          <w:sz w:val="28"/>
          <w:szCs w:val="28"/>
          <w:rtl/>
        </w:rPr>
        <w:t>تشمل التنسيق بين المعرفة الداخلية لدى الشخص والمعرفة الخارجية المتجسدة في الأدوات أو البيئة.</w:t>
      </w:r>
    </w:p>
    <w:p w14:paraId="50883EA2"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إن بيئة التعلم الإلكترونية المؤسسة على حشد المصادر تعتمد على العمليات الموزعة، فالنظام المعرفي يتضمن المشاركة في استعمال وسائط الوصول للمعرفة، مما يوفر إمكانيات توزيع المعرفة بين الأشخاص. وهو ما تهدف إليه مثل هذه البيئات؛ عبر توفير الفرصة لتوزيع استغلال المعرفة بين الأفراد المشاركين، وتنظيم استخدامها فيما بينهم. فالمعرفة هنا ليست محصورة بشخص بعينه، وإنما هي موزعة ضمن الخبرات والحقائق والمعلومات المتوافرة في عناصر وأدوات البيئة التعليمية، ويتم ذلك عن طريق التفاعل. ويُعد هذا تطبيقاً للمبادئ الجوهرية لنظرية المعرفة الموزعة.</w:t>
      </w:r>
    </w:p>
    <w:p w14:paraId="15D7B993" w14:textId="77777777" w:rsidR="00E34918" w:rsidRPr="0008291E" w:rsidRDefault="00E34918" w:rsidP="00686C10">
      <w:pPr>
        <w:bidi/>
        <w:ind w:firstLine="720"/>
        <w:jc w:val="both"/>
        <w:rPr>
          <w:rFonts w:asciiTheme="majorBidi" w:hAnsiTheme="majorBidi" w:cstheme="majorBidi"/>
          <w:b/>
          <w:bCs/>
          <w:sz w:val="32"/>
          <w:szCs w:val="32"/>
          <w:rtl/>
        </w:rPr>
      </w:pPr>
      <w:r w:rsidRPr="0008291E">
        <w:rPr>
          <w:rFonts w:asciiTheme="majorBidi" w:hAnsiTheme="majorBidi" w:cstheme="majorBidi"/>
          <w:b/>
          <w:bCs/>
          <w:sz w:val="32"/>
          <w:szCs w:val="32"/>
          <w:rtl/>
        </w:rPr>
        <w:t>ثانياً: نظرية الدوافع (</w:t>
      </w:r>
      <w:r w:rsidRPr="0008291E">
        <w:rPr>
          <w:rFonts w:asciiTheme="majorBidi" w:hAnsiTheme="majorBidi" w:cstheme="majorBidi"/>
          <w:b/>
          <w:bCs/>
          <w:sz w:val="32"/>
          <w:szCs w:val="32"/>
        </w:rPr>
        <w:t>Motive Theory</w:t>
      </w:r>
      <w:r w:rsidRPr="0008291E">
        <w:rPr>
          <w:rFonts w:asciiTheme="majorBidi" w:hAnsiTheme="majorBidi" w:cstheme="majorBidi"/>
          <w:b/>
          <w:bCs/>
          <w:sz w:val="32"/>
          <w:szCs w:val="32"/>
          <w:rtl/>
        </w:rPr>
        <w:t>)</w:t>
      </w:r>
    </w:p>
    <w:p w14:paraId="0FF70563"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تمثل الدوافع العوامل التي تُعين المتعلمين على الانخراط في أنشطة سلوكية معينة، وتوجيهها نحو إنجاز أعمال محددة. فالشخص يتبنى سلوكاً ما بهدف تحقيق نتائج أو غايات تلبي بعضاً من احتياجاته ورغباته. إنها المحركات التي تحث الأفراد على الانضمام للأحداث أو الفعاليات، ومما لا ريب فيه أن للدوافع تأثيراً بالغاً على السلوك الإنساني عموماً. وترتكز النظرية على مفهومي الحوافز والتعزيز؛ فهي تدفع المتعلمين لإنجاز المهام التعليمية بفاعلية لتوقعهم الحصول على مكافأة، والابتعاد عن التصرفات التي قد تجلب العقاب. وهذا يفسر طبيعة الدوافع البشرية، إذ قد يختلف تصرف الأفراد في المواقف المتشابهة بناءً على الحوافز المتوفرة (</w:t>
      </w:r>
      <w:r w:rsidRPr="0008291E">
        <w:rPr>
          <w:rFonts w:asciiTheme="majorBidi" w:hAnsiTheme="majorBidi" w:cstheme="majorBidi"/>
          <w:sz w:val="28"/>
          <w:szCs w:val="28"/>
        </w:rPr>
        <w:t>Gutierrez-Serrano et al., 2022</w:t>
      </w:r>
      <w:r w:rsidRPr="0008291E">
        <w:rPr>
          <w:rFonts w:asciiTheme="majorBidi" w:hAnsiTheme="majorBidi" w:cstheme="majorBidi"/>
          <w:sz w:val="28"/>
          <w:szCs w:val="28"/>
          <w:rtl/>
        </w:rPr>
        <w:t>).</w:t>
      </w:r>
    </w:p>
    <w:p w14:paraId="1296574C"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وقد أوضح </w:t>
      </w:r>
      <w:r w:rsidRPr="0008291E">
        <w:rPr>
          <w:rFonts w:asciiTheme="majorBidi" w:hAnsiTheme="majorBidi" w:cstheme="majorBidi"/>
          <w:sz w:val="28"/>
          <w:szCs w:val="28"/>
        </w:rPr>
        <w:t>Kaufman et al</w:t>
      </w:r>
      <w:r w:rsidRPr="0008291E">
        <w:rPr>
          <w:rFonts w:asciiTheme="majorBidi" w:hAnsiTheme="majorBidi" w:cstheme="majorBidi"/>
          <w:sz w:val="28"/>
          <w:szCs w:val="28"/>
          <w:rtl/>
        </w:rPr>
        <w:t>. (2011) نموذجاً للدوافع الداخلية والخارجية في حشد المصادر. حيث إن الدوافع الداخلية (</w:t>
      </w:r>
      <w:r w:rsidRPr="0008291E">
        <w:rPr>
          <w:rFonts w:asciiTheme="majorBidi" w:hAnsiTheme="majorBidi" w:cstheme="majorBidi"/>
          <w:sz w:val="28"/>
          <w:szCs w:val="28"/>
        </w:rPr>
        <w:t>Internal Motives</w:t>
      </w:r>
      <w:r w:rsidRPr="0008291E">
        <w:rPr>
          <w:rFonts w:asciiTheme="majorBidi" w:hAnsiTheme="majorBidi" w:cstheme="majorBidi"/>
          <w:sz w:val="28"/>
          <w:szCs w:val="28"/>
          <w:rtl/>
        </w:rPr>
        <w:t xml:space="preserve">) تشمل الدوافع الاجتماعية، النابعة من القيم والالتزام بأهمية التعلم، وتنفيذ المهمة التعليمية التي يكتسبها المتعلم أثناء تبادل المساهمات والتعاون وتلقي التغذية الراجعة من الآخرين. وكذلك مكافآت فورية، وذلك عن طريق حصول المتعلم على مكافآت في شكل نقدي بعد إنجاز كل مهمة تعليمية يقوم بها، ومكافآت مؤجلة، يتم من خلالها تحفيز المتعلم للمميزات المستقبلية التي تصاحب أداء المهمة التعليمية، والإشارات التي تتمثل في نماذج لسلوك آخرين. (ملاحظة حول التصنيف: يُقترح مراجعة المصدر الأصلي للتأكد من تصنيف "المكافآت الفورية والمؤجلة" كدوافع داخلية ضمن هذا النموذج تحديداً، حيث تُصنف عادةً كدوافع خارجية في </w:t>
      </w:r>
      <w:r w:rsidRPr="0008291E">
        <w:rPr>
          <w:rFonts w:asciiTheme="majorBidi" w:hAnsiTheme="majorBidi" w:cstheme="majorBidi"/>
          <w:sz w:val="28"/>
          <w:szCs w:val="28"/>
          <w:rtl/>
        </w:rPr>
        <w:lastRenderedPageBreak/>
        <w:t>أدبيات أخرى). أما الدوافع الخارجية (</w:t>
      </w:r>
      <w:r w:rsidRPr="0008291E">
        <w:rPr>
          <w:rFonts w:asciiTheme="majorBidi" w:hAnsiTheme="majorBidi" w:cstheme="majorBidi"/>
          <w:sz w:val="28"/>
          <w:szCs w:val="28"/>
        </w:rPr>
        <w:t>External Motives</w:t>
      </w:r>
      <w:r w:rsidRPr="0008291E">
        <w:rPr>
          <w:rFonts w:asciiTheme="majorBidi" w:hAnsiTheme="majorBidi" w:cstheme="majorBidi"/>
          <w:sz w:val="28"/>
          <w:szCs w:val="28"/>
          <w:rtl/>
        </w:rPr>
        <w:t>)، فتشمل تلك المرتبطة بالاستمتاع من خلال تحقيق المهمة التعليمية، وإحساس المتعلم باكتمال المهمة، والتنوع في المهارات المطلوبة لأداء هذه المهمة، والتغذية الراجعة الفورية التي توضح للمتعلم مستوى إنجازه. وكذلك الدوافع المجتمعية، التي تنشأ من الانتماء لمجتمع يوفر روابط اجتماعية للمتعلم.</w:t>
      </w:r>
    </w:p>
    <w:p w14:paraId="2C9FB828"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وتستند بيئات التعلم الإلكترونية المعتمدة على حشد المصادر بصورة كبيرة على كلا النوعين من الدوافع. إذ تمثل دوافع المتعلمين عاملاً حاسماً قد يؤثر في نجاح عمليات الحشد؛ فهي المحرك الذي يبدأ ويوجه سلوك الفرد نحو الهدف المنشود، وتحقيق المهام التعليمية. وهي تشمل قوى اجتماعية وبيولوجية وعاطفية تنشط سلوك المتعلم وتحفزه. ويمكن لأدوات حشد المصادر أن تسهم بفاعلية في تعزيز دوافع المتعلم (</w:t>
      </w:r>
      <w:r w:rsidRPr="0008291E">
        <w:rPr>
          <w:rFonts w:asciiTheme="majorBidi" w:hAnsiTheme="majorBidi" w:cstheme="majorBidi"/>
          <w:sz w:val="28"/>
          <w:szCs w:val="28"/>
        </w:rPr>
        <w:t>Cai, 2016</w:t>
      </w:r>
      <w:r w:rsidRPr="0008291E">
        <w:rPr>
          <w:rFonts w:asciiTheme="majorBidi" w:hAnsiTheme="majorBidi" w:cstheme="majorBidi"/>
          <w:sz w:val="28"/>
          <w:szCs w:val="28"/>
          <w:rtl/>
        </w:rPr>
        <w:t>).</w:t>
      </w:r>
    </w:p>
    <w:p w14:paraId="06689D31" w14:textId="77777777" w:rsidR="00E34918" w:rsidRPr="0008291E" w:rsidRDefault="00E34918" w:rsidP="00851CF6">
      <w:pPr>
        <w:bidi/>
        <w:ind w:firstLine="720"/>
        <w:jc w:val="both"/>
        <w:rPr>
          <w:rFonts w:asciiTheme="majorBidi" w:hAnsiTheme="majorBidi" w:cstheme="majorBidi"/>
          <w:b/>
          <w:bCs/>
          <w:sz w:val="32"/>
          <w:szCs w:val="32"/>
          <w:rtl/>
        </w:rPr>
      </w:pPr>
      <w:r w:rsidRPr="0008291E">
        <w:rPr>
          <w:rFonts w:asciiTheme="majorBidi" w:hAnsiTheme="majorBidi" w:cstheme="majorBidi"/>
          <w:b/>
          <w:bCs/>
          <w:sz w:val="32"/>
          <w:szCs w:val="32"/>
          <w:rtl/>
        </w:rPr>
        <w:t>ثالثاً: النظرية الاتصالية (</w:t>
      </w:r>
      <w:r w:rsidRPr="0008291E">
        <w:rPr>
          <w:rFonts w:asciiTheme="majorBidi" w:hAnsiTheme="majorBidi" w:cstheme="majorBidi"/>
          <w:b/>
          <w:bCs/>
          <w:sz w:val="32"/>
          <w:szCs w:val="32"/>
        </w:rPr>
        <w:t>Connectivism</w:t>
      </w:r>
      <w:r w:rsidRPr="0008291E">
        <w:rPr>
          <w:rFonts w:asciiTheme="majorBidi" w:hAnsiTheme="majorBidi" w:cstheme="majorBidi"/>
          <w:b/>
          <w:bCs/>
          <w:sz w:val="32"/>
          <w:szCs w:val="32"/>
          <w:rtl/>
        </w:rPr>
        <w:t>)</w:t>
      </w:r>
    </w:p>
    <w:p w14:paraId="76631F4A"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تبرز هذه النظرية أهمية التعلم ذي الطابع الاجتماعي، وتوفير الفرص للمتعلمين للتواصل المثمر وتبادل الإسهامات فيما بينهم. وتستند النظرية إلى التعلم الرقمي من خلال المنصات التعليمية، وتقاسم الأدوات، وتوظيف تكنولوجيا الحاسب، وشبكات الإنترنت في عملية التعليم. وتنظر إلى التعلم باعتباره شبكة من المعارف الشخصية التي يتم تكوينها بهدف دمج المتعلمين في التفاعل والتواصل الاجتماعي. وتحاول تجاوز القيود التي تفرضها نظريات أخرى من خلال الجمع بين التعلم والتكنولوجيا والعوامل الاجتماعية بغرض صياغة نظرية تلائم العصر الرقمي (</w:t>
      </w:r>
      <w:r w:rsidRPr="0008291E">
        <w:rPr>
          <w:rFonts w:asciiTheme="majorBidi" w:hAnsiTheme="majorBidi" w:cstheme="majorBidi"/>
          <w:sz w:val="28"/>
          <w:szCs w:val="28"/>
        </w:rPr>
        <w:t>Downes, 2019</w:t>
      </w:r>
      <w:r w:rsidRPr="0008291E">
        <w:rPr>
          <w:rFonts w:asciiTheme="majorBidi" w:hAnsiTheme="majorBidi" w:cstheme="majorBidi"/>
          <w:sz w:val="28"/>
          <w:szCs w:val="28"/>
          <w:rtl/>
        </w:rPr>
        <w:t>).</w:t>
      </w:r>
    </w:p>
    <w:p w14:paraId="53B44674"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w:t>
      </w:r>
    </w:p>
    <w:p w14:paraId="7D4E06A9" w14:textId="6EE351C3" w:rsidR="00E34918" w:rsidRPr="0008291E" w:rsidRDefault="00E34918" w:rsidP="002C6213">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ووفقاً لـ </w:t>
      </w:r>
      <w:r w:rsidRPr="0008291E">
        <w:rPr>
          <w:rFonts w:asciiTheme="majorBidi" w:hAnsiTheme="majorBidi" w:cstheme="majorBidi"/>
          <w:sz w:val="28"/>
          <w:szCs w:val="28"/>
        </w:rPr>
        <w:t>Goldie</w:t>
      </w:r>
      <w:r w:rsidRPr="0008291E">
        <w:rPr>
          <w:rFonts w:asciiTheme="majorBidi" w:hAnsiTheme="majorBidi" w:cstheme="majorBidi"/>
          <w:sz w:val="28"/>
          <w:szCs w:val="28"/>
          <w:rtl/>
        </w:rPr>
        <w:t xml:space="preserve"> (2016)، ترتكز هذه النظرية على مبادئ رئيسية؛ منها أن التعلم والمعرفة ينبثقان من تنوع الآراء ووجهات النظر التي تتكامل معاً، كما تعتبر القدرة على فهم الروابط والعلاقات بين الأفكار والمفاهيم المختلفة مهارة محورية، حيث يعمل المتعلم كنقطة اتصال ضمن الشبكة. فالتعلم هو عملية ربط لمصادر معلومات متخصصة، ويمكن للمتعلمين تعزيز تعلمهم بالعمل عبر الشبكة وتنمية قدرتهم على إدراك الروابط مع الآخرين والأفكار والمفاهيم. وتُصوّر العملية التعليمية كشبكة تربط بين نقاط التقاء متعددة، وقد يمتد التعلم ليحدث ضمن أدوات غير بشرية كالشبكات وقواعد البيانات، مما يؤكد على أن القدرة على الوصول للمعلومات قد تفوق أهمية محتوى المعلومات بحد ذاته. </w:t>
      </w:r>
    </w:p>
    <w:p w14:paraId="356282CC" w14:textId="77777777" w:rsidR="00E34918" w:rsidRPr="0008291E" w:rsidRDefault="00E34918" w:rsidP="00851CF6">
      <w:pPr>
        <w:bidi/>
        <w:ind w:firstLine="720"/>
        <w:jc w:val="both"/>
        <w:rPr>
          <w:rFonts w:asciiTheme="majorBidi" w:hAnsiTheme="majorBidi" w:cstheme="majorBidi"/>
          <w:sz w:val="28"/>
          <w:szCs w:val="28"/>
          <w:rtl/>
        </w:rPr>
      </w:pPr>
      <w:r w:rsidRPr="0008291E">
        <w:rPr>
          <w:rFonts w:asciiTheme="majorBidi" w:hAnsiTheme="majorBidi" w:cstheme="majorBidi"/>
          <w:sz w:val="28"/>
          <w:szCs w:val="28"/>
          <w:rtl/>
        </w:rPr>
        <w:t>تشتمل بيئة التعلم الإلكترونية القائمة على حشد المصادر على الأدوات غير البشرية المتمثلة في الحاسوب، والأدوات التشاركية، والشبكات التي يتفاعل عبرها المشاركون (الحشود)، إلى جانب العلاقات الاجتماعية التي تنشأ بين المتعلمين والمشاركين الآخرين وأقرانهم. وتتماشى هذه العمليات مع النظرية الاتصالية التي تسهم بواسطة أدواتها في مساعدة المتعلمين في إنجاز المهام التعليمية الم</w:t>
      </w:r>
    </w:p>
    <w:p w14:paraId="1F409A43" w14:textId="6911065F" w:rsidR="00E34918" w:rsidRPr="0008291E" w:rsidRDefault="00E34918" w:rsidP="00851CF6">
      <w:pPr>
        <w:bidi/>
        <w:ind w:firstLine="720"/>
        <w:jc w:val="both"/>
        <w:rPr>
          <w:rFonts w:asciiTheme="majorBidi" w:hAnsiTheme="majorBidi" w:cstheme="majorBidi"/>
          <w:b/>
          <w:bCs/>
          <w:sz w:val="32"/>
          <w:szCs w:val="32"/>
          <w:rtl/>
        </w:rPr>
      </w:pPr>
      <w:r w:rsidRPr="0008291E">
        <w:rPr>
          <w:rFonts w:asciiTheme="majorBidi" w:hAnsiTheme="majorBidi" w:cstheme="majorBidi"/>
          <w:b/>
          <w:bCs/>
          <w:sz w:val="32"/>
          <w:szCs w:val="32"/>
          <w:rtl/>
        </w:rPr>
        <w:t xml:space="preserve">رابعاً: نظرية السلوك </w:t>
      </w:r>
      <w:r w:rsidR="003540EC" w:rsidRPr="0008291E">
        <w:rPr>
          <w:rFonts w:asciiTheme="majorBidi" w:hAnsiTheme="majorBidi" w:cstheme="majorBidi"/>
          <w:b/>
          <w:bCs/>
          <w:sz w:val="32"/>
          <w:szCs w:val="32"/>
          <w:rtl/>
        </w:rPr>
        <w:t>المخطط (</w:t>
      </w:r>
      <w:r w:rsidRPr="0008291E">
        <w:rPr>
          <w:rFonts w:asciiTheme="majorBidi" w:hAnsiTheme="majorBidi" w:cstheme="majorBidi"/>
          <w:b/>
          <w:bCs/>
          <w:sz w:val="32"/>
          <w:szCs w:val="32"/>
        </w:rPr>
        <w:t>Theory of Planned Behavior - TPB</w:t>
      </w:r>
      <w:r w:rsidRPr="0008291E">
        <w:rPr>
          <w:rFonts w:asciiTheme="majorBidi" w:hAnsiTheme="majorBidi" w:cstheme="majorBidi"/>
          <w:b/>
          <w:bCs/>
          <w:sz w:val="32"/>
          <w:szCs w:val="32"/>
          <w:rtl/>
        </w:rPr>
        <w:t>)</w:t>
      </w:r>
    </w:p>
    <w:p w14:paraId="0C6AC121"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lastRenderedPageBreak/>
        <w:t>تمثل هذه النظرية تطويراً وتوسيعاً لنظرية الفعل المُعلل (أو المبرر). إذ تُعنى بالسلوك المُخطط له مسبقاً، فهي تركز على قياس نية المتعلم أو قصده لممارسة سلوك معين، ومدى رغبته ودافعه للقيام بهذا الفعل، ومقدار الجهد المتوقع بذله؛ على اعتبار أن سلوك الفرد يمكن توقعه والتأثير فيه بناءً على هذه العوامل.</w:t>
      </w:r>
    </w:p>
    <w:p w14:paraId="767FB8B8"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والهدف من فهم أداء السلوك والتحكم فيه هو تعزيز التوجه نحو السلوكيات الإيجابية. إذ تفترض النظرية أن تكوين الاتجاهات نحو سلوك ما يعتمد على المعتقدات السلوكية لدى الفرد (أي اعتقاداته حول النتائج المحتملة لأداء السلوك). فحين يتوقع المتعلمون أن سلوكاً معيناً سيؤدي لنتائج إيجابية، يتكون لديهم اتجاه إيجابي نحو ممارسته؛ وعلى النقيض، إذا توقعوا نتائج سلبية، يتولد لديهم اتجاه سلبي أو رفض له. وتتأثر هذه الاتجاهات أيضاً بالمعايير الاجتماعية المستمدة من مرجعيات </w:t>
      </w:r>
      <w:proofErr w:type="gramStart"/>
      <w:r w:rsidRPr="0008291E">
        <w:rPr>
          <w:rFonts w:asciiTheme="majorBidi" w:hAnsiTheme="majorBidi" w:cstheme="majorBidi"/>
          <w:sz w:val="28"/>
          <w:szCs w:val="28"/>
          <w:rtl/>
        </w:rPr>
        <w:t>هامة</w:t>
      </w:r>
      <w:proofErr w:type="gramEnd"/>
      <w:r w:rsidRPr="0008291E">
        <w:rPr>
          <w:rFonts w:asciiTheme="majorBidi" w:hAnsiTheme="majorBidi" w:cstheme="majorBidi"/>
          <w:sz w:val="28"/>
          <w:szCs w:val="28"/>
          <w:rtl/>
        </w:rPr>
        <w:t xml:space="preserve"> (مثل المعلمين، وأولياء الأمور، والخبراء، والأقران)، كما تتأثر باعتقاد المتعلم بقدرته على التحكم في أداء السلوك (</w:t>
      </w:r>
      <w:r w:rsidRPr="0008291E">
        <w:rPr>
          <w:rFonts w:asciiTheme="majorBidi" w:hAnsiTheme="majorBidi" w:cstheme="majorBidi"/>
          <w:sz w:val="28"/>
          <w:szCs w:val="28"/>
        </w:rPr>
        <w:t>Ajzen, 2020</w:t>
      </w:r>
      <w:r w:rsidRPr="0008291E">
        <w:rPr>
          <w:rFonts w:asciiTheme="majorBidi" w:hAnsiTheme="majorBidi" w:cstheme="majorBidi"/>
          <w:sz w:val="28"/>
          <w:szCs w:val="28"/>
          <w:rtl/>
        </w:rPr>
        <w:t>).</w:t>
      </w:r>
    </w:p>
    <w:p w14:paraId="1CDE71B8"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وترتكز نظرية السلوك المخطط على مكونات أساسية يمكن الاستفادة منها عند تصميم بيئة التعلم الإلكترونية القائمة على حشد المصادر. تشمل هذه المكونات: </w:t>
      </w:r>
      <w:r w:rsidRPr="0008291E">
        <w:rPr>
          <w:rFonts w:asciiTheme="majorBidi" w:hAnsiTheme="majorBidi" w:cstheme="majorBidi"/>
          <w:i/>
          <w:iCs/>
          <w:sz w:val="28"/>
          <w:szCs w:val="28"/>
          <w:rtl/>
        </w:rPr>
        <w:t>المعايير الذاتية</w:t>
      </w:r>
      <w:r w:rsidRPr="0008291E">
        <w:rPr>
          <w:rFonts w:asciiTheme="majorBidi" w:hAnsiTheme="majorBidi" w:cstheme="majorBidi"/>
          <w:sz w:val="28"/>
          <w:szCs w:val="28"/>
          <w:rtl/>
        </w:rPr>
        <w:t xml:space="preserve"> (</w:t>
      </w:r>
      <w:r w:rsidRPr="0008291E">
        <w:rPr>
          <w:rFonts w:asciiTheme="majorBidi" w:hAnsiTheme="majorBidi" w:cstheme="majorBidi"/>
          <w:sz w:val="28"/>
          <w:szCs w:val="28"/>
        </w:rPr>
        <w:t>Subjective Norms</w:t>
      </w:r>
      <w:r w:rsidRPr="0008291E">
        <w:rPr>
          <w:rFonts w:asciiTheme="majorBidi" w:hAnsiTheme="majorBidi" w:cstheme="majorBidi"/>
          <w:sz w:val="28"/>
          <w:szCs w:val="28"/>
          <w:rtl/>
        </w:rPr>
        <w:t>)، وهي إدراك المتعلم لأهمية معتقدات الآخرين المؤثرين وتوقعاتهم بشأن سلوكه؛ و</w:t>
      </w:r>
      <w:r w:rsidRPr="0008291E">
        <w:rPr>
          <w:rFonts w:asciiTheme="majorBidi" w:hAnsiTheme="majorBidi" w:cstheme="majorBidi"/>
          <w:i/>
          <w:iCs/>
          <w:sz w:val="28"/>
          <w:szCs w:val="28"/>
          <w:rtl/>
        </w:rPr>
        <w:t>الاتجاه نحو السلوك</w:t>
      </w:r>
      <w:r w:rsidRPr="0008291E">
        <w:rPr>
          <w:rFonts w:asciiTheme="majorBidi" w:hAnsiTheme="majorBidi" w:cstheme="majorBidi"/>
          <w:sz w:val="28"/>
          <w:szCs w:val="28"/>
          <w:rtl/>
        </w:rPr>
        <w:t xml:space="preserve"> (</w:t>
      </w:r>
      <w:r w:rsidRPr="0008291E">
        <w:rPr>
          <w:rFonts w:asciiTheme="majorBidi" w:hAnsiTheme="majorBidi" w:cstheme="majorBidi"/>
          <w:sz w:val="28"/>
          <w:szCs w:val="28"/>
        </w:rPr>
        <w:t>Attitude Toward Behavior</w:t>
      </w:r>
      <w:r w:rsidRPr="0008291E">
        <w:rPr>
          <w:rFonts w:asciiTheme="majorBidi" w:hAnsiTheme="majorBidi" w:cstheme="majorBidi"/>
          <w:sz w:val="28"/>
          <w:szCs w:val="28"/>
          <w:rtl/>
        </w:rPr>
        <w:t xml:space="preserve">)، وهو تقييم الفرد الإيجابي أو السلبي للسلوك المعني، حيث أن الاتجاه الإيجابي يعزز نية ممارسة السلوك ويتشكل بناءً على معتقدات الفرد حول نتائج هذا السلوك؛ وأخيراً، </w:t>
      </w:r>
      <w:r w:rsidRPr="0008291E">
        <w:rPr>
          <w:rFonts w:asciiTheme="majorBidi" w:hAnsiTheme="majorBidi" w:cstheme="majorBidi"/>
          <w:i/>
          <w:iCs/>
          <w:sz w:val="28"/>
          <w:szCs w:val="28"/>
          <w:rtl/>
        </w:rPr>
        <w:t>التحكم في السلوك المدرك</w:t>
      </w:r>
      <w:r w:rsidRPr="0008291E">
        <w:rPr>
          <w:rFonts w:asciiTheme="majorBidi" w:hAnsiTheme="majorBidi" w:cstheme="majorBidi"/>
          <w:sz w:val="28"/>
          <w:szCs w:val="28"/>
          <w:rtl/>
        </w:rPr>
        <w:t xml:space="preserve"> (</w:t>
      </w:r>
      <w:r w:rsidRPr="0008291E">
        <w:rPr>
          <w:rFonts w:asciiTheme="majorBidi" w:hAnsiTheme="majorBidi" w:cstheme="majorBidi"/>
          <w:sz w:val="28"/>
          <w:szCs w:val="28"/>
        </w:rPr>
        <w:t>Perceived Behavioral Control</w:t>
      </w:r>
      <w:r w:rsidRPr="0008291E">
        <w:rPr>
          <w:rFonts w:asciiTheme="majorBidi" w:hAnsiTheme="majorBidi" w:cstheme="majorBidi"/>
          <w:sz w:val="28"/>
          <w:szCs w:val="28"/>
          <w:rtl/>
        </w:rPr>
        <w:t>)، والذي يعكس مدى سهولة أو صعوبة أداء السلوك في نظر الفرد بناءً على خبراته السابقة والعوائق المتوقعة، ويرتبط هذا المكون بمفهوم الكفاءة الذاتية.</w:t>
      </w:r>
    </w:p>
    <w:p w14:paraId="1CBD5186"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وتظهر علاقة وثيقة بين بيئة التعلم الإلكترونية المعتمدة على حشد المصادر ونظرية السلوك المخطط. فكلاهما يهتم بفهم وتحفيز نية المشاركة، عبر ربط رغبات ودوافع الأفراد بالمهام المقدمة، وتشجيعهم على إنجازها، وتوجيه سلوك المتعلم نحو أهداف محددة، من خلال توفير الإرشادات الواضحة وتنظيم عملية المشاركة (</w:t>
      </w:r>
      <w:r w:rsidRPr="0008291E">
        <w:rPr>
          <w:rFonts w:asciiTheme="majorBidi" w:hAnsiTheme="majorBidi" w:cstheme="majorBidi"/>
          <w:sz w:val="28"/>
          <w:szCs w:val="28"/>
        </w:rPr>
        <w:t>Sharma</w:t>
      </w:r>
      <w:r w:rsidRPr="0008291E">
        <w:rPr>
          <w:rFonts w:asciiTheme="majorBidi" w:hAnsiTheme="majorBidi" w:cstheme="majorBidi"/>
          <w:sz w:val="28"/>
          <w:szCs w:val="28"/>
          <w:rtl/>
        </w:rPr>
        <w:t xml:space="preserve"> &amp; </w:t>
      </w:r>
      <w:proofErr w:type="spellStart"/>
      <w:r w:rsidRPr="0008291E">
        <w:rPr>
          <w:rFonts w:asciiTheme="majorBidi" w:hAnsiTheme="majorBidi" w:cstheme="majorBidi"/>
          <w:sz w:val="28"/>
          <w:szCs w:val="28"/>
        </w:rPr>
        <w:t>Foropon</w:t>
      </w:r>
      <w:proofErr w:type="spellEnd"/>
      <w:r w:rsidRPr="0008291E">
        <w:rPr>
          <w:rFonts w:asciiTheme="majorBidi" w:hAnsiTheme="majorBidi" w:cstheme="majorBidi"/>
          <w:sz w:val="28"/>
          <w:szCs w:val="28"/>
        </w:rPr>
        <w:t>, 2019</w:t>
      </w:r>
      <w:r w:rsidRPr="0008291E">
        <w:rPr>
          <w:rFonts w:asciiTheme="majorBidi" w:hAnsiTheme="majorBidi" w:cstheme="majorBidi"/>
          <w:sz w:val="28"/>
          <w:szCs w:val="28"/>
          <w:rtl/>
        </w:rPr>
        <w:t>).</w:t>
      </w:r>
    </w:p>
    <w:p w14:paraId="25ED4591"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تعتبر مشاركة الأفراد في سياقات حشد المصادر عملية متجددة تشتمل على مهام تشاركية يندمج فيها المشاركون (الحشد) بهدف حل مشكلة محددة، وتمر بمراحل نفسية تبدأ بالوعي وتنتهي بالمشاركة النشطة. ويشمل انخراط المتعلم جوانب ارتباط عاطفية </w:t>
      </w:r>
      <w:proofErr w:type="spellStart"/>
      <w:r w:rsidRPr="0008291E">
        <w:rPr>
          <w:rFonts w:asciiTheme="majorBidi" w:hAnsiTheme="majorBidi" w:cstheme="majorBidi"/>
          <w:sz w:val="28"/>
          <w:szCs w:val="28"/>
          <w:rtl/>
        </w:rPr>
        <w:t>وموقفية</w:t>
      </w:r>
      <w:proofErr w:type="spellEnd"/>
      <w:r w:rsidRPr="0008291E">
        <w:rPr>
          <w:rFonts w:asciiTheme="majorBidi" w:hAnsiTheme="majorBidi" w:cstheme="majorBidi"/>
          <w:sz w:val="28"/>
          <w:szCs w:val="28"/>
          <w:rtl/>
        </w:rPr>
        <w:t xml:space="preserve"> ومعرفية وسلوكية تجاه الأدوات التكنولوجية المستخدمة. ويتأثر عمق هذه المشاركة بعوامل كالرضا والثقة والشعور بالتمكين، مما قد يقود إلى التزام عملي أو وجداني (</w:t>
      </w:r>
      <w:r w:rsidRPr="0008291E">
        <w:rPr>
          <w:rFonts w:asciiTheme="majorBidi" w:hAnsiTheme="majorBidi" w:cstheme="majorBidi"/>
          <w:sz w:val="28"/>
          <w:szCs w:val="28"/>
        </w:rPr>
        <w:t>Troll et al., 2016</w:t>
      </w:r>
      <w:r w:rsidRPr="0008291E">
        <w:rPr>
          <w:rFonts w:asciiTheme="majorBidi" w:hAnsiTheme="majorBidi" w:cstheme="majorBidi"/>
          <w:sz w:val="28"/>
          <w:szCs w:val="28"/>
          <w:rtl/>
        </w:rPr>
        <w:t>).</w:t>
      </w:r>
    </w:p>
    <w:p w14:paraId="04666757" w14:textId="38DE9AF7" w:rsidR="00E34918" w:rsidRPr="0008291E" w:rsidRDefault="00E34918" w:rsidP="003540EC">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كما تسهم تجربة المشاركين (الحشد) في توجيه السلوك والانخراط في عملية التعلم. فانخراطهم يساعد على تحقيق الأهداف التعليمية المنشودة، وتتأتى عملية الانخراط هذه عبر الترابط والتفاعل الوثيق بين أعضاء الحشد والمتعلمين الأساسيين. كذلك، يتم تنشيط الإدراك العاطفي والمعرفي بواسطة </w:t>
      </w:r>
      <w:r w:rsidRPr="0008291E">
        <w:rPr>
          <w:rFonts w:asciiTheme="majorBidi" w:hAnsiTheme="majorBidi" w:cstheme="majorBidi"/>
          <w:sz w:val="28"/>
          <w:szCs w:val="28"/>
          <w:rtl/>
        </w:rPr>
        <w:lastRenderedPageBreak/>
        <w:t>عمليات التفاعل، مما يؤدي لظهور استجابات سلوكية متنوعة تعتمد على مدركات المشاركين ومشاعر الرضا والسعادة والثقة، سواء على المستوى الفردي أو الجماعي (</w:t>
      </w:r>
      <w:r w:rsidRPr="0008291E">
        <w:rPr>
          <w:rFonts w:asciiTheme="majorBidi" w:hAnsiTheme="majorBidi" w:cstheme="majorBidi"/>
          <w:sz w:val="28"/>
          <w:szCs w:val="28"/>
        </w:rPr>
        <w:t>Benz et al., 2019</w:t>
      </w:r>
      <w:r w:rsidRPr="0008291E">
        <w:rPr>
          <w:rFonts w:asciiTheme="majorBidi" w:hAnsiTheme="majorBidi" w:cstheme="majorBidi"/>
          <w:sz w:val="28"/>
          <w:szCs w:val="28"/>
          <w:rtl/>
        </w:rPr>
        <w:t>).</w:t>
      </w:r>
    </w:p>
    <w:p w14:paraId="679721C9" w14:textId="444DC13B" w:rsidR="00E34918" w:rsidRPr="0008291E" w:rsidRDefault="001A5CA6" w:rsidP="003540EC">
      <w:pPr>
        <w:bidi/>
        <w:ind w:firstLine="720"/>
        <w:jc w:val="both"/>
        <w:rPr>
          <w:rFonts w:asciiTheme="majorBidi" w:hAnsiTheme="majorBidi" w:cstheme="majorBidi"/>
          <w:b/>
          <w:bCs/>
          <w:sz w:val="28"/>
          <w:szCs w:val="28"/>
          <w:rtl/>
        </w:rPr>
      </w:pPr>
      <w:r w:rsidRPr="0008291E">
        <w:rPr>
          <w:rFonts w:asciiTheme="majorBidi" w:hAnsiTheme="majorBidi" w:cstheme="majorBidi"/>
          <w:b/>
          <w:bCs/>
          <w:sz w:val="28"/>
          <w:szCs w:val="28"/>
          <w:rtl/>
        </w:rPr>
        <w:t>خامسا</w:t>
      </w:r>
      <w:r w:rsidR="00E34918" w:rsidRPr="0008291E">
        <w:rPr>
          <w:rFonts w:asciiTheme="majorBidi" w:hAnsiTheme="majorBidi" w:cstheme="majorBidi"/>
          <w:b/>
          <w:bCs/>
          <w:sz w:val="28"/>
          <w:szCs w:val="28"/>
          <w:rtl/>
        </w:rPr>
        <w:t>: نظرية التدفق</w:t>
      </w:r>
    </w:p>
    <w:p w14:paraId="2BF80A2A"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تشير (</w:t>
      </w:r>
      <w:r w:rsidRPr="0008291E">
        <w:rPr>
          <w:rFonts w:asciiTheme="majorBidi" w:hAnsiTheme="majorBidi" w:cstheme="majorBidi"/>
          <w:sz w:val="28"/>
          <w:szCs w:val="28"/>
        </w:rPr>
        <w:t>Flow theory</w:t>
      </w:r>
      <w:r w:rsidRPr="0008291E">
        <w:rPr>
          <w:rFonts w:asciiTheme="majorBidi" w:hAnsiTheme="majorBidi" w:cstheme="majorBidi"/>
          <w:sz w:val="28"/>
          <w:szCs w:val="28"/>
          <w:rtl/>
        </w:rPr>
        <w:t xml:space="preserve">)، كما وصفها </w:t>
      </w:r>
      <w:r w:rsidRPr="0008291E">
        <w:rPr>
          <w:rFonts w:asciiTheme="majorBidi" w:hAnsiTheme="majorBidi" w:cstheme="majorBidi"/>
          <w:sz w:val="28"/>
          <w:szCs w:val="28"/>
        </w:rPr>
        <w:t>Nakamura</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Csikszentmihalyi</w:t>
      </w:r>
      <w:r w:rsidRPr="0008291E">
        <w:rPr>
          <w:rFonts w:asciiTheme="majorBidi" w:hAnsiTheme="majorBidi" w:cstheme="majorBidi"/>
          <w:sz w:val="28"/>
          <w:szCs w:val="28"/>
          <w:rtl/>
        </w:rPr>
        <w:t xml:space="preserve"> (2009)، إلى حالة ذهنية إيجابية يندمج فيها الفرد تمامًا مع النشاط الذي يمارسه. يتمتع الفرد في هذه الحالة بتركيز ووعي كامل أثناء أداء المهام، مصحوبًا بشعور بالصفاء الذهني والمثابرة لتحقيق الأهداف. يرتبط التدفق بالأداء الفعال، والدافعية، والإبداع، وتعزيز تقدير الذات، والشعور بالسعادة. يتحقق التدفق من خلال التوازن بين التحدي والمهارة، والاندماج بين الفعل والوعي مع إدراك واضح للأهداف، وتلقي تغذية راجعة فعالة. ويصاحب هذه الحالة إحساس بالسيطرة وانعدام الشعور بالذات إلا فيما يتعلق بالمهمة المنفذة، مع ضياع الإحساس بمرور الوقت نتيجة الاستمتاع. لذلك، يعتمد تصميم محفزات التعلم، وفقًا لـ </w:t>
      </w:r>
      <w:r w:rsidRPr="0008291E">
        <w:rPr>
          <w:rFonts w:asciiTheme="majorBidi" w:hAnsiTheme="majorBidi" w:cstheme="majorBidi"/>
          <w:sz w:val="28"/>
          <w:szCs w:val="28"/>
        </w:rPr>
        <w:t>Gee</w:t>
      </w:r>
      <w:r w:rsidRPr="0008291E">
        <w:rPr>
          <w:rFonts w:asciiTheme="majorBidi" w:hAnsiTheme="majorBidi" w:cstheme="majorBidi"/>
          <w:sz w:val="28"/>
          <w:szCs w:val="28"/>
          <w:rtl/>
        </w:rPr>
        <w:t xml:space="preserve"> (2003)، على تحقيق التوازن بين قدرات المتعلم والتحديات المطروحة، مما يعزز دافعيته ويجذب انتباهه للأنشطة التعليمية ويدمجه مع عملي</w:t>
      </w:r>
    </w:p>
    <w:p w14:paraId="65AAC78B" w14:textId="77777777" w:rsidR="00E34918" w:rsidRPr="0008291E" w:rsidRDefault="00E34918"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ويمكن تطبيق ذلك في بيئات حشد المصادر، خاصة التعليمية منها، عبر تصميم المهام استناداً إلى مبادئ نظرية التدفق من خلال الموازنة بين التحدي والمهارة وتقديم أهداف واضحة وتغذية راجعة فورية. إن تحقيق حالة التدفق لدى المشاركين يعزز دافعيتهم الداخلية وجودة مساهماتهم ومتعتهم بالتجربة، مما يسهم بشكل كبير في فعالية واستمرارية بيئة حشد المصادر.</w:t>
      </w:r>
    </w:p>
    <w:p w14:paraId="1555408E" w14:textId="3A1BB5A2" w:rsidR="00AF63CD" w:rsidRDefault="00EC7B19" w:rsidP="00827050">
      <w:pPr>
        <w:pStyle w:val="Heading2"/>
        <w:bidi/>
        <w:rPr>
          <w:rFonts w:asciiTheme="majorBidi" w:hAnsiTheme="majorBidi"/>
          <w:rtl/>
        </w:rPr>
      </w:pPr>
      <w:r w:rsidRPr="0008291E">
        <w:rPr>
          <w:rFonts w:asciiTheme="majorBidi" w:hAnsiTheme="majorBidi"/>
          <w:rtl/>
        </w:rPr>
        <w:t>معايير تصميم حشد المصادر بنمطيها (ت</w:t>
      </w:r>
      <w:r w:rsidR="00CF13F6" w:rsidRPr="0008291E">
        <w:rPr>
          <w:rFonts w:asciiTheme="majorBidi" w:hAnsiTheme="majorBidi"/>
          <w:rtl/>
        </w:rPr>
        <w:t xml:space="preserve">نافسي / </w:t>
      </w:r>
      <w:r w:rsidR="00827050" w:rsidRPr="0008291E">
        <w:rPr>
          <w:rFonts w:asciiTheme="majorBidi" w:hAnsiTheme="majorBidi"/>
          <w:rtl/>
        </w:rPr>
        <w:t>تشاركي) وزمنه</w:t>
      </w:r>
      <w:r w:rsidR="00CF13F6" w:rsidRPr="0008291E">
        <w:rPr>
          <w:rFonts w:asciiTheme="majorBidi" w:hAnsiTheme="majorBidi"/>
          <w:rtl/>
        </w:rPr>
        <w:t xml:space="preserve"> </w:t>
      </w:r>
      <w:r w:rsidR="00827050" w:rsidRPr="0008291E">
        <w:rPr>
          <w:rFonts w:asciiTheme="majorBidi" w:hAnsiTheme="majorBidi"/>
          <w:rtl/>
        </w:rPr>
        <w:t>ببيئة</w:t>
      </w:r>
      <w:r w:rsidR="00CF13F6" w:rsidRPr="0008291E">
        <w:rPr>
          <w:rFonts w:asciiTheme="majorBidi" w:hAnsiTheme="majorBidi"/>
          <w:rtl/>
        </w:rPr>
        <w:t xml:space="preserve"> الكترونية</w:t>
      </w:r>
    </w:p>
    <w:p w14:paraId="4DD2AE93" w14:textId="77777777" w:rsidR="0062554B" w:rsidRPr="0062554B" w:rsidRDefault="0062554B" w:rsidP="0062554B">
      <w:pPr>
        <w:bidi/>
        <w:ind w:left="720" w:firstLine="720"/>
        <w:jc w:val="both"/>
        <w:rPr>
          <w:rFonts w:asciiTheme="majorBidi" w:hAnsiTheme="majorBidi" w:cstheme="majorBidi"/>
          <w:sz w:val="28"/>
          <w:szCs w:val="28"/>
        </w:rPr>
      </w:pPr>
      <w:r w:rsidRPr="0062554B">
        <w:rPr>
          <w:rFonts w:asciiTheme="majorBidi" w:hAnsiTheme="majorBidi" w:cstheme="majorBidi"/>
          <w:sz w:val="28"/>
          <w:szCs w:val="28"/>
          <w:rtl/>
        </w:rPr>
        <w:t xml:space="preserve">لصياغة قائمة معايير تصميم بيئات حشد المصادر الإلكترونية، بنمطيه التنافسي والتشاركي، استندت الدراسة الحالية إلى تحليل معمّق للأدبيات والدراسات السابقة ذات الصلة. وقد استفادت الدراسة من نتائج أبحاث ودراسات متعددة في هذا المجال (منها على سبيل المثال: خميس، 2020، ص 424؛ ربيع، 2023، ص 144؛ عبدالله، 2023، ص 718؛ عبد العال، 2023، ص 120؛ عمار، 2023، ص 154؛ </w:t>
      </w:r>
      <w:r w:rsidRPr="0062554B">
        <w:rPr>
          <w:rFonts w:asciiTheme="majorBidi" w:hAnsiTheme="majorBidi" w:cstheme="majorBidi"/>
          <w:sz w:val="28"/>
          <w:szCs w:val="28"/>
        </w:rPr>
        <w:t>Jiang et al., 2018, p.4</w:t>
      </w:r>
      <w:r w:rsidRPr="0062554B">
        <w:rPr>
          <w:rFonts w:asciiTheme="majorBidi" w:hAnsiTheme="majorBidi" w:cstheme="majorBidi"/>
          <w:sz w:val="28"/>
          <w:szCs w:val="28"/>
          <w:rtl/>
        </w:rPr>
        <w:t xml:space="preserve">؛ </w:t>
      </w:r>
      <w:r w:rsidRPr="0062554B">
        <w:rPr>
          <w:rFonts w:asciiTheme="majorBidi" w:hAnsiTheme="majorBidi" w:cstheme="majorBidi"/>
          <w:sz w:val="28"/>
          <w:szCs w:val="28"/>
        </w:rPr>
        <w:t>Schmitz et al., 2018, p.150</w:t>
      </w:r>
      <w:r w:rsidRPr="0062554B">
        <w:rPr>
          <w:rFonts w:asciiTheme="majorBidi" w:hAnsiTheme="majorBidi" w:cstheme="majorBidi"/>
          <w:sz w:val="28"/>
          <w:szCs w:val="28"/>
          <w:rtl/>
        </w:rPr>
        <w:t xml:space="preserve">؛ </w:t>
      </w:r>
      <w:proofErr w:type="spellStart"/>
      <w:r w:rsidRPr="0062554B">
        <w:rPr>
          <w:rFonts w:asciiTheme="majorBidi" w:hAnsiTheme="majorBidi" w:cstheme="majorBidi"/>
          <w:sz w:val="28"/>
          <w:szCs w:val="28"/>
        </w:rPr>
        <w:t>Wimbauer</w:t>
      </w:r>
      <w:proofErr w:type="spellEnd"/>
      <w:r w:rsidRPr="0062554B">
        <w:rPr>
          <w:rFonts w:asciiTheme="majorBidi" w:hAnsiTheme="majorBidi" w:cstheme="majorBidi"/>
          <w:sz w:val="28"/>
          <w:szCs w:val="28"/>
        </w:rPr>
        <w:t xml:space="preserve"> et al., 2020, p.19</w:t>
      </w:r>
      <w:r w:rsidRPr="0062554B">
        <w:rPr>
          <w:rFonts w:asciiTheme="majorBidi" w:hAnsiTheme="majorBidi" w:cstheme="majorBidi"/>
          <w:sz w:val="28"/>
          <w:szCs w:val="28"/>
          <w:rtl/>
        </w:rPr>
        <w:t xml:space="preserve">؛ </w:t>
      </w:r>
      <w:r w:rsidRPr="0062554B">
        <w:rPr>
          <w:rFonts w:asciiTheme="majorBidi" w:hAnsiTheme="majorBidi" w:cstheme="majorBidi"/>
          <w:sz w:val="28"/>
          <w:szCs w:val="28"/>
        </w:rPr>
        <w:t>Donlon et al., 2020, p.50</w:t>
      </w:r>
      <w:r w:rsidRPr="0062554B">
        <w:rPr>
          <w:rFonts w:asciiTheme="majorBidi" w:hAnsiTheme="majorBidi" w:cstheme="majorBidi"/>
          <w:sz w:val="28"/>
          <w:szCs w:val="28"/>
          <w:rtl/>
        </w:rPr>
        <w:t xml:space="preserve">؛ </w:t>
      </w:r>
      <w:r w:rsidRPr="0062554B">
        <w:rPr>
          <w:rFonts w:asciiTheme="majorBidi" w:hAnsiTheme="majorBidi" w:cstheme="majorBidi"/>
          <w:sz w:val="28"/>
          <w:szCs w:val="28"/>
        </w:rPr>
        <w:t>Sun et al., 2018, p.270</w:t>
      </w:r>
      <w:r w:rsidRPr="0062554B">
        <w:rPr>
          <w:rFonts w:asciiTheme="majorBidi" w:hAnsiTheme="majorBidi" w:cstheme="majorBidi"/>
          <w:sz w:val="28"/>
          <w:szCs w:val="28"/>
          <w:rtl/>
        </w:rPr>
        <w:t xml:space="preserve">؛ </w:t>
      </w:r>
      <w:proofErr w:type="spellStart"/>
      <w:r w:rsidRPr="0062554B">
        <w:rPr>
          <w:rFonts w:asciiTheme="majorBidi" w:hAnsiTheme="majorBidi" w:cstheme="majorBidi"/>
          <w:sz w:val="28"/>
          <w:szCs w:val="28"/>
        </w:rPr>
        <w:t>Zahirovi</w:t>
      </w:r>
      <w:proofErr w:type="spellEnd"/>
      <w:r w:rsidRPr="0062554B">
        <w:rPr>
          <w:rFonts w:asciiTheme="majorBidi" w:hAnsiTheme="majorBidi" w:cstheme="majorBidi"/>
          <w:sz w:val="28"/>
          <w:szCs w:val="28"/>
        </w:rPr>
        <w:t xml:space="preserve"> et al., 2019, p.73</w:t>
      </w:r>
      <w:r w:rsidRPr="0062554B">
        <w:rPr>
          <w:rFonts w:asciiTheme="majorBidi" w:hAnsiTheme="majorBidi" w:cstheme="majorBidi"/>
          <w:sz w:val="28"/>
          <w:szCs w:val="28"/>
          <w:rtl/>
        </w:rPr>
        <w:t xml:space="preserve">؛ </w:t>
      </w:r>
      <w:r w:rsidRPr="0062554B">
        <w:rPr>
          <w:rFonts w:asciiTheme="majorBidi" w:hAnsiTheme="majorBidi" w:cstheme="majorBidi"/>
          <w:sz w:val="28"/>
          <w:szCs w:val="28"/>
        </w:rPr>
        <w:t>Saxton et al., 2019, p.10</w:t>
      </w:r>
      <w:r w:rsidRPr="0062554B">
        <w:rPr>
          <w:rFonts w:asciiTheme="majorBidi" w:hAnsiTheme="majorBidi" w:cstheme="majorBidi"/>
          <w:sz w:val="28"/>
          <w:szCs w:val="28"/>
          <w:rtl/>
        </w:rPr>
        <w:t xml:space="preserve">؛ </w:t>
      </w:r>
      <w:r w:rsidRPr="0062554B">
        <w:rPr>
          <w:rFonts w:asciiTheme="majorBidi" w:hAnsiTheme="majorBidi" w:cstheme="majorBidi"/>
          <w:sz w:val="28"/>
          <w:szCs w:val="28"/>
        </w:rPr>
        <w:t>Jiang</w:t>
      </w:r>
      <w:r w:rsidRPr="0062554B">
        <w:rPr>
          <w:rFonts w:asciiTheme="majorBidi" w:hAnsiTheme="majorBidi" w:cstheme="majorBidi"/>
          <w:sz w:val="28"/>
          <w:szCs w:val="28"/>
          <w:rtl/>
        </w:rPr>
        <w:t xml:space="preserve"> &amp; </w:t>
      </w:r>
      <w:r w:rsidRPr="0062554B">
        <w:rPr>
          <w:rFonts w:asciiTheme="majorBidi" w:hAnsiTheme="majorBidi" w:cstheme="majorBidi"/>
          <w:sz w:val="28"/>
          <w:szCs w:val="28"/>
        </w:rPr>
        <w:t>Daniel, 2018</w:t>
      </w:r>
      <w:r w:rsidRPr="0062554B">
        <w:rPr>
          <w:rFonts w:asciiTheme="majorBidi" w:hAnsiTheme="majorBidi" w:cstheme="majorBidi"/>
          <w:sz w:val="28"/>
          <w:szCs w:val="28"/>
          <w:rtl/>
        </w:rPr>
        <w:t xml:space="preserve">؛ </w:t>
      </w:r>
      <w:r w:rsidRPr="0062554B">
        <w:rPr>
          <w:rFonts w:asciiTheme="majorBidi" w:hAnsiTheme="majorBidi" w:cstheme="majorBidi"/>
          <w:sz w:val="28"/>
          <w:szCs w:val="28"/>
        </w:rPr>
        <w:t>Saxton et al., 2013</w:t>
      </w:r>
      <w:r w:rsidRPr="0062554B">
        <w:rPr>
          <w:rFonts w:asciiTheme="majorBidi" w:hAnsiTheme="majorBidi" w:cstheme="majorBidi"/>
          <w:sz w:val="28"/>
          <w:szCs w:val="28"/>
          <w:rtl/>
        </w:rPr>
        <w:t xml:space="preserve">؛ </w:t>
      </w:r>
      <w:r w:rsidRPr="0062554B">
        <w:rPr>
          <w:rFonts w:asciiTheme="majorBidi" w:hAnsiTheme="majorBidi" w:cstheme="majorBidi"/>
          <w:sz w:val="28"/>
          <w:szCs w:val="28"/>
        </w:rPr>
        <w:t>Hosseini et al., 2014</w:t>
      </w:r>
      <w:r w:rsidRPr="0062554B">
        <w:rPr>
          <w:rFonts w:asciiTheme="majorBidi" w:hAnsiTheme="majorBidi" w:cstheme="majorBidi"/>
          <w:sz w:val="28"/>
          <w:szCs w:val="28"/>
          <w:rtl/>
        </w:rPr>
        <w:t xml:space="preserve">؛ </w:t>
      </w:r>
      <w:r w:rsidRPr="0062554B">
        <w:rPr>
          <w:rFonts w:asciiTheme="majorBidi" w:hAnsiTheme="majorBidi" w:cstheme="majorBidi"/>
          <w:sz w:val="28"/>
          <w:szCs w:val="28"/>
        </w:rPr>
        <w:t>Zuchowski et al., 2016</w:t>
      </w:r>
      <w:r w:rsidRPr="0062554B">
        <w:rPr>
          <w:rFonts w:asciiTheme="majorBidi" w:hAnsiTheme="majorBidi" w:cstheme="majorBidi"/>
          <w:sz w:val="28"/>
          <w:szCs w:val="28"/>
          <w:rtl/>
        </w:rPr>
        <w:t xml:space="preserve">؛ </w:t>
      </w:r>
      <w:r w:rsidRPr="0062554B">
        <w:rPr>
          <w:rFonts w:asciiTheme="majorBidi" w:hAnsiTheme="majorBidi" w:cstheme="majorBidi"/>
          <w:sz w:val="28"/>
          <w:szCs w:val="28"/>
        </w:rPr>
        <w:t>Empson, 2014</w:t>
      </w:r>
      <w:r w:rsidRPr="0062554B">
        <w:rPr>
          <w:rFonts w:asciiTheme="majorBidi" w:hAnsiTheme="majorBidi" w:cstheme="majorBidi"/>
          <w:sz w:val="28"/>
          <w:szCs w:val="28"/>
          <w:rtl/>
        </w:rPr>
        <w:t xml:space="preserve">؛ </w:t>
      </w:r>
      <w:proofErr w:type="spellStart"/>
      <w:r w:rsidRPr="0062554B">
        <w:rPr>
          <w:rFonts w:asciiTheme="majorBidi" w:hAnsiTheme="majorBidi" w:cstheme="majorBidi"/>
          <w:sz w:val="28"/>
          <w:szCs w:val="28"/>
        </w:rPr>
        <w:t>Ngoon</w:t>
      </w:r>
      <w:proofErr w:type="spellEnd"/>
      <w:r w:rsidRPr="0062554B">
        <w:rPr>
          <w:rFonts w:asciiTheme="majorBidi" w:hAnsiTheme="majorBidi" w:cstheme="majorBidi"/>
          <w:sz w:val="28"/>
          <w:szCs w:val="28"/>
        </w:rPr>
        <w:t xml:space="preserve"> et al., 2016</w:t>
      </w:r>
      <w:r w:rsidRPr="0062554B">
        <w:rPr>
          <w:rFonts w:asciiTheme="majorBidi" w:hAnsiTheme="majorBidi" w:cstheme="majorBidi"/>
          <w:sz w:val="28"/>
          <w:szCs w:val="28"/>
          <w:rtl/>
        </w:rPr>
        <w:t xml:space="preserve">؛ </w:t>
      </w:r>
      <w:proofErr w:type="spellStart"/>
      <w:r w:rsidRPr="0062554B">
        <w:rPr>
          <w:rFonts w:asciiTheme="majorBidi" w:hAnsiTheme="majorBidi" w:cstheme="majorBidi"/>
          <w:sz w:val="28"/>
          <w:szCs w:val="28"/>
        </w:rPr>
        <w:t>Dontcheva</w:t>
      </w:r>
      <w:proofErr w:type="spellEnd"/>
      <w:r w:rsidRPr="0062554B">
        <w:rPr>
          <w:rFonts w:asciiTheme="majorBidi" w:hAnsiTheme="majorBidi" w:cstheme="majorBidi"/>
          <w:sz w:val="28"/>
          <w:szCs w:val="28"/>
        </w:rPr>
        <w:t xml:space="preserve"> et al., 2014</w:t>
      </w:r>
      <w:r w:rsidRPr="0062554B">
        <w:rPr>
          <w:rFonts w:asciiTheme="majorBidi" w:hAnsiTheme="majorBidi" w:cstheme="majorBidi"/>
          <w:sz w:val="28"/>
          <w:szCs w:val="28"/>
          <w:rtl/>
        </w:rPr>
        <w:t>).</w:t>
      </w:r>
    </w:p>
    <w:p w14:paraId="2680293A" w14:textId="77777777" w:rsidR="0062554B" w:rsidRPr="0062554B" w:rsidRDefault="0062554B" w:rsidP="0062554B">
      <w:pPr>
        <w:bidi/>
        <w:ind w:left="720" w:firstLine="720"/>
        <w:jc w:val="both"/>
        <w:rPr>
          <w:rFonts w:asciiTheme="majorBidi" w:hAnsiTheme="majorBidi" w:cstheme="majorBidi"/>
          <w:sz w:val="28"/>
          <w:szCs w:val="28"/>
          <w:rtl/>
        </w:rPr>
      </w:pPr>
      <w:r w:rsidRPr="0062554B">
        <w:rPr>
          <w:rFonts w:asciiTheme="majorBidi" w:hAnsiTheme="majorBidi" w:cstheme="majorBidi"/>
          <w:sz w:val="28"/>
          <w:szCs w:val="28"/>
          <w:rtl/>
        </w:rPr>
        <w:t xml:space="preserve">وقد أسفر هذا التحليل عن بناء قائمة المعايير المعتمدة في هذه الدراسة، والتي توزعت مؤشراتها التفصيلية كالتالي: تضمنت المعايير المتعلقة بالأهداف التعليمية (7) مؤشرات، بينما اشتملت معايير المحتوى والمهام على (14) مؤشرًا تغطي تصميم المهام وخصائصها. وخُصص لمعايير التقويم والتغذية الراجعة (11) مؤشرًا، وللتحفيز والتفاعل (5) مؤشرات، ولعمليات الاتصال والتفاعل (4) مؤشرات. أما المعايير المتعلقة بواجهة البيئة والمنصة الإلكترونية فتكونت من (10) مؤشرات موزعة </w:t>
      </w:r>
      <w:r w:rsidRPr="0062554B">
        <w:rPr>
          <w:rFonts w:asciiTheme="majorBidi" w:hAnsiTheme="majorBidi" w:cstheme="majorBidi"/>
          <w:sz w:val="28"/>
          <w:szCs w:val="28"/>
          <w:rtl/>
        </w:rPr>
        <w:lastRenderedPageBreak/>
        <w:t>على التصميم العام والتعليمي والجوانب التقنية، وتلك الخاصة بالروابط الفائقة وأساليب التصفح من (6) مؤشرات. وأخيرًا، تضمنت المعايير الفنية للبيئة الإلكترونية (6) مؤشرات.</w:t>
      </w:r>
    </w:p>
    <w:p w14:paraId="075F9C42" w14:textId="77777777" w:rsidR="00A84D15" w:rsidRPr="00306A5E" w:rsidRDefault="00A84D15" w:rsidP="00A84D15">
      <w:pPr>
        <w:bidi/>
        <w:rPr>
          <w:rtl/>
        </w:rPr>
      </w:pPr>
    </w:p>
    <w:p w14:paraId="17F469ED" w14:textId="577C7FA7" w:rsidR="00827050" w:rsidRPr="0008291E" w:rsidRDefault="00827050" w:rsidP="00842E20">
      <w:pPr>
        <w:pStyle w:val="Heading2"/>
        <w:bidi/>
        <w:rPr>
          <w:rFonts w:asciiTheme="majorBidi" w:hAnsiTheme="majorBidi"/>
        </w:rPr>
      </w:pPr>
      <w:r w:rsidRPr="0008291E">
        <w:rPr>
          <w:rFonts w:asciiTheme="majorBidi" w:hAnsiTheme="majorBidi"/>
          <w:rtl/>
        </w:rPr>
        <w:t xml:space="preserve">التصميم التعليمي </w:t>
      </w:r>
      <w:r w:rsidR="00E00830" w:rsidRPr="0008291E">
        <w:rPr>
          <w:rFonts w:asciiTheme="majorBidi" w:hAnsiTheme="majorBidi"/>
          <w:rtl/>
        </w:rPr>
        <w:t xml:space="preserve">لنمط حشد المصادر (تنافسي / تشاركي) </w:t>
      </w:r>
      <w:r w:rsidR="00842E20" w:rsidRPr="0008291E">
        <w:rPr>
          <w:rFonts w:asciiTheme="majorBidi" w:hAnsiTheme="majorBidi"/>
          <w:rtl/>
        </w:rPr>
        <w:t>وزمنه بالبيئة الالكترونية</w:t>
      </w:r>
    </w:p>
    <w:p w14:paraId="0A923FFC" w14:textId="30429007" w:rsidR="00C91C06" w:rsidRPr="0008291E" w:rsidRDefault="00F50E7B" w:rsidP="00ED62BB">
      <w:pPr>
        <w:pStyle w:val="Heading2"/>
        <w:bidi/>
        <w:rPr>
          <w:rFonts w:asciiTheme="majorBidi" w:hAnsiTheme="majorBidi"/>
          <w:rtl/>
          <w:lang w:bidi="ar-EG"/>
        </w:rPr>
      </w:pPr>
      <w:r w:rsidRPr="0008291E">
        <w:rPr>
          <w:rFonts w:asciiTheme="majorBidi" w:hAnsiTheme="majorBidi"/>
          <w:rtl/>
          <w:lang w:bidi="ar-EG"/>
        </w:rPr>
        <w:t>علاق</w:t>
      </w:r>
      <w:r w:rsidR="00ED62BB" w:rsidRPr="0008291E">
        <w:rPr>
          <w:rFonts w:asciiTheme="majorBidi" w:hAnsiTheme="majorBidi"/>
          <w:rtl/>
          <w:lang w:bidi="ar-EG"/>
        </w:rPr>
        <w:t>ة بيئة التعلم الالكترونية بحشد المصادر:</w:t>
      </w:r>
    </w:p>
    <w:p w14:paraId="4A4B299D" w14:textId="3DF891BB" w:rsidR="00CC2530" w:rsidRPr="0008291E" w:rsidRDefault="005D5436" w:rsidP="005D5436">
      <w:pPr>
        <w:bidi/>
        <w:spacing w:line="360" w:lineRule="auto"/>
        <w:ind w:firstLine="720"/>
        <w:jc w:val="both"/>
        <w:rPr>
          <w:rFonts w:asciiTheme="majorBidi" w:eastAsia="Aptos" w:hAnsiTheme="majorBidi" w:cstheme="majorBidi"/>
          <w:kern w:val="0"/>
          <w:sz w:val="28"/>
          <w:szCs w:val="28"/>
          <w:rtl/>
          <w14:ligatures w14:val="none"/>
        </w:rPr>
      </w:pPr>
      <w:r w:rsidRPr="005D5436">
        <w:rPr>
          <w:rFonts w:asciiTheme="majorBidi" w:eastAsia="Aptos" w:hAnsiTheme="majorBidi" w:cstheme="majorBidi"/>
          <w:kern w:val="0"/>
          <w:sz w:val="28"/>
          <w:szCs w:val="28"/>
          <w:rtl/>
          <w14:ligatures w14:val="none"/>
        </w:rPr>
        <w:t xml:space="preserve">يُقدم حشد المصادر إمكانات هائلة لتحسين التعليم المُخصص عبر الإنترنت، حيث يُمكن دمجه في نظام اجتماعي إلكتروني يربط بين الإنسان والحاسوب. وقد أظهرت الدراسات أن حشد المصادر يمكن أن يكون مثمرًا في التعليم لكل من الطلاب والمعلمين عند الاستفادة الفعلية من بيئات التعلم الإلكتروني الاجتماعي القائمة على الويب، ونماذجه وخصائصه واستراتيجياته بما يتماشى مع خصائص الويب ٢.٠ لتوظيف حشد المصادر في سياق </w:t>
      </w:r>
      <w:proofErr w:type="gramStart"/>
      <w:r w:rsidRPr="005D5436">
        <w:rPr>
          <w:rFonts w:asciiTheme="majorBidi" w:eastAsia="Aptos" w:hAnsiTheme="majorBidi" w:cstheme="majorBidi"/>
          <w:kern w:val="0"/>
          <w:sz w:val="28"/>
          <w:szCs w:val="28"/>
          <w:rtl/>
          <w14:ligatures w14:val="none"/>
        </w:rPr>
        <w:t>تعليمي</w:t>
      </w:r>
      <w:r w:rsidR="00CC2530" w:rsidRPr="0008291E">
        <w:rPr>
          <w:rFonts w:asciiTheme="majorBidi" w:eastAsia="Aptos" w:hAnsiTheme="majorBidi" w:cstheme="majorBidi"/>
          <w:kern w:val="0"/>
          <w:sz w:val="28"/>
          <w:szCs w:val="28"/>
          <w:rtl/>
          <w14:ligatures w14:val="none"/>
        </w:rPr>
        <w:t xml:space="preserve"> </w:t>
      </w:r>
      <w:r w:rsidR="00CC2530" w:rsidRPr="005D5436">
        <w:rPr>
          <w:rFonts w:asciiTheme="majorBidi" w:eastAsia="Aptos" w:hAnsiTheme="majorBidi" w:cstheme="majorBidi"/>
          <w:kern w:val="0"/>
          <w:sz w:val="28"/>
          <w:szCs w:val="28"/>
          <w14:ligatures w14:val="none"/>
        </w:rPr>
        <w:t xml:space="preserve"> (</w:t>
      </w:r>
      <w:proofErr w:type="gramEnd"/>
      <w:r w:rsidR="00CC2530" w:rsidRPr="005D5436">
        <w:rPr>
          <w:rFonts w:asciiTheme="majorBidi" w:eastAsia="Aptos" w:hAnsiTheme="majorBidi" w:cstheme="majorBidi"/>
          <w:kern w:val="0"/>
          <w:sz w:val="28"/>
          <w:szCs w:val="28"/>
          <w14:ligatures w14:val="none"/>
        </w:rPr>
        <w:t>Weld et al., 2012)</w:t>
      </w:r>
    </w:p>
    <w:p w14:paraId="6BBEFE26" w14:textId="2CC84BD1" w:rsidR="00FA23D5" w:rsidRPr="0008291E" w:rsidRDefault="00FA23D5" w:rsidP="0090487C">
      <w:pPr>
        <w:bidi/>
        <w:spacing w:line="360" w:lineRule="auto"/>
        <w:jc w:val="both"/>
        <w:rPr>
          <w:rFonts w:asciiTheme="majorBidi" w:eastAsia="Aptos" w:hAnsiTheme="majorBidi" w:cstheme="majorBidi"/>
          <w:kern w:val="0"/>
          <w:sz w:val="28"/>
          <w:szCs w:val="28"/>
          <w14:ligatures w14:val="none"/>
        </w:rPr>
      </w:pPr>
      <w:r w:rsidRPr="0008291E">
        <w:rPr>
          <w:rFonts w:asciiTheme="majorBidi" w:eastAsia="Aptos" w:hAnsiTheme="majorBidi" w:cstheme="majorBidi"/>
          <w:kern w:val="0"/>
          <w:sz w:val="28"/>
          <w:szCs w:val="28"/>
          <w:rtl/>
          <w14:ligatures w14:val="none"/>
        </w:rPr>
        <w:t xml:space="preserve">ومن الدراسات التي تناولت العلاقة بين حشد المصادر </w:t>
      </w:r>
      <w:r w:rsidR="00D04B29" w:rsidRPr="0008291E">
        <w:rPr>
          <w:rFonts w:asciiTheme="majorBidi" w:eastAsia="Aptos" w:hAnsiTheme="majorBidi" w:cstheme="majorBidi"/>
          <w:kern w:val="0"/>
          <w:sz w:val="28"/>
          <w:szCs w:val="28"/>
          <w:rtl/>
          <w14:ligatures w14:val="none"/>
        </w:rPr>
        <w:t xml:space="preserve">بيئات التعلم الالكترونية </w:t>
      </w:r>
      <w:r w:rsidR="000C4B7B" w:rsidRPr="0008291E">
        <w:rPr>
          <w:rFonts w:asciiTheme="majorBidi" w:eastAsia="Aptos" w:hAnsiTheme="majorBidi" w:cstheme="majorBidi"/>
          <w:kern w:val="0"/>
          <w:sz w:val="28"/>
          <w:szCs w:val="28"/>
          <w:rtl/>
          <w14:ligatures w14:val="none"/>
        </w:rPr>
        <w:t>ما يلي</w:t>
      </w:r>
      <w:r w:rsidR="00D04B29" w:rsidRPr="0008291E">
        <w:rPr>
          <w:rFonts w:asciiTheme="majorBidi" w:eastAsia="Aptos" w:hAnsiTheme="majorBidi" w:cstheme="majorBidi"/>
          <w:kern w:val="0"/>
          <w:sz w:val="28"/>
          <w:szCs w:val="28"/>
          <w:rtl/>
          <w14:ligatures w14:val="none"/>
        </w:rPr>
        <w:t>:</w:t>
      </w:r>
    </w:p>
    <w:p w14:paraId="6A33F762"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14:ligatures w14:val="none"/>
        </w:rPr>
      </w:pPr>
      <w:r w:rsidRPr="0090487C">
        <w:rPr>
          <w:rFonts w:asciiTheme="majorBidi" w:eastAsia="Aptos" w:hAnsiTheme="majorBidi" w:cstheme="majorBidi"/>
          <w:kern w:val="0"/>
          <w:sz w:val="28"/>
          <w:szCs w:val="28"/>
          <w:rtl/>
          <w14:ligatures w14:val="none"/>
        </w:rPr>
        <w:t xml:space="preserve">فقد أشارت دراسة </w:t>
      </w:r>
      <w:r w:rsidRPr="0090487C">
        <w:rPr>
          <w:rFonts w:asciiTheme="majorBidi" w:eastAsia="Aptos" w:hAnsiTheme="majorBidi" w:cstheme="majorBidi"/>
          <w:b/>
          <w:bCs/>
          <w:kern w:val="0"/>
          <w:sz w:val="28"/>
          <w:szCs w:val="28"/>
          <w:rtl/>
          <w14:ligatures w14:val="none"/>
        </w:rPr>
        <w:t xml:space="preserve">ألفارو </w:t>
      </w:r>
      <w:proofErr w:type="spellStart"/>
      <w:r w:rsidRPr="0090487C">
        <w:rPr>
          <w:rFonts w:asciiTheme="majorBidi" w:eastAsia="Aptos" w:hAnsiTheme="majorBidi" w:cstheme="majorBidi"/>
          <w:b/>
          <w:bCs/>
          <w:kern w:val="0"/>
          <w:sz w:val="28"/>
          <w:szCs w:val="28"/>
          <w:rtl/>
          <w14:ligatures w14:val="none"/>
        </w:rPr>
        <w:t>وشافلوفسكي</w:t>
      </w:r>
      <w:proofErr w:type="spellEnd"/>
      <w:r w:rsidRPr="0090487C">
        <w:rPr>
          <w:rFonts w:asciiTheme="majorBidi" w:eastAsia="Aptos" w:hAnsiTheme="majorBidi" w:cstheme="majorBidi"/>
          <w:b/>
          <w:bCs/>
          <w:kern w:val="0"/>
          <w:sz w:val="28"/>
          <w:szCs w:val="28"/>
          <w:rtl/>
          <w14:ligatures w14:val="none"/>
        </w:rPr>
        <w:t xml:space="preserve"> (</w:t>
      </w:r>
      <w:r w:rsidRPr="0090487C">
        <w:rPr>
          <w:rFonts w:asciiTheme="majorBidi" w:eastAsia="Aptos" w:hAnsiTheme="majorBidi" w:cstheme="majorBidi"/>
          <w:b/>
          <w:bCs/>
          <w:kern w:val="0"/>
          <w:sz w:val="28"/>
          <w:szCs w:val="28"/>
          <w14:ligatures w14:val="none"/>
        </w:rPr>
        <w:t>Alfaro</w:t>
      </w:r>
      <w:r w:rsidRPr="0090487C">
        <w:rPr>
          <w:rFonts w:asciiTheme="majorBidi" w:eastAsia="Aptos" w:hAnsiTheme="majorBidi" w:cstheme="majorBidi"/>
          <w:b/>
          <w:bCs/>
          <w:kern w:val="0"/>
          <w:sz w:val="28"/>
          <w:szCs w:val="28"/>
          <w:rtl/>
          <w14:ligatures w14:val="none"/>
        </w:rPr>
        <w:t xml:space="preserve"> &amp; </w:t>
      </w:r>
      <w:proofErr w:type="spellStart"/>
      <w:r w:rsidRPr="0090487C">
        <w:rPr>
          <w:rFonts w:asciiTheme="majorBidi" w:eastAsia="Aptos" w:hAnsiTheme="majorBidi" w:cstheme="majorBidi"/>
          <w:b/>
          <w:bCs/>
          <w:kern w:val="0"/>
          <w:sz w:val="28"/>
          <w:szCs w:val="28"/>
          <w14:ligatures w14:val="none"/>
        </w:rPr>
        <w:t>Shavlovsky</w:t>
      </w:r>
      <w:proofErr w:type="spellEnd"/>
      <w:r w:rsidRPr="0090487C">
        <w:rPr>
          <w:rFonts w:asciiTheme="majorBidi" w:eastAsia="Aptos" w:hAnsiTheme="majorBidi" w:cstheme="majorBidi"/>
          <w:b/>
          <w:bCs/>
          <w:kern w:val="0"/>
          <w:sz w:val="28"/>
          <w:szCs w:val="28"/>
          <w14:ligatures w14:val="none"/>
        </w:rPr>
        <w:t>, 2014</w:t>
      </w:r>
      <w:r w:rsidRPr="0090487C">
        <w:rPr>
          <w:rFonts w:asciiTheme="majorBidi" w:eastAsia="Aptos" w:hAnsiTheme="majorBidi" w:cstheme="majorBidi"/>
          <w:b/>
          <w:bCs/>
          <w:kern w:val="0"/>
          <w:sz w:val="28"/>
          <w:szCs w:val="28"/>
          <w:rtl/>
          <w14:ligatures w14:val="none"/>
        </w:rPr>
        <w:t>)</w:t>
      </w:r>
      <w:r w:rsidRPr="0090487C">
        <w:rPr>
          <w:rFonts w:asciiTheme="majorBidi" w:eastAsia="Aptos" w:hAnsiTheme="majorBidi" w:cstheme="majorBidi"/>
          <w:kern w:val="0"/>
          <w:sz w:val="28"/>
          <w:szCs w:val="28"/>
          <w:rtl/>
          <w14:ligatures w14:val="none"/>
        </w:rPr>
        <w:t xml:space="preserve"> إلى قيمة التغذية الراجعة التي يقدمها الأقران عند استخدام بيئة تعلم إلكترونية تعتمد على حشد المصادر، مؤكدةً أن التقييم الجماعي للواجبات يمثل منهجية فعالة في السياقات التعليمية.</w:t>
      </w:r>
    </w:p>
    <w:p w14:paraId="66A66D33"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وهدفت دراسة </w:t>
      </w:r>
      <w:r w:rsidRPr="0090487C">
        <w:rPr>
          <w:rFonts w:asciiTheme="majorBidi" w:eastAsia="Aptos" w:hAnsiTheme="majorBidi" w:cstheme="majorBidi"/>
          <w:b/>
          <w:bCs/>
          <w:kern w:val="0"/>
          <w:sz w:val="28"/>
          <w:szCs w:val="28"/>
          <w:rtl/>
          <w14:ligatures w14:val="none"/>
        </w:rPr>
        <w:t>شويان (</w:t>
      </w:r>
      <w:proofErr w:type="spellStart"/>
      <w:r w:rsidRPr="0090487C">
        <w:rPr>
          <w:rFonts w:asciiTheme="majorBidi" w:eastAsia="Aptos" w:hAnsiTheme="majorBidi" w:cstheme="majorBidi"/>
          <w:b/>
          <w:bCs/>
          <w:kern w:val="0"/>
          <w:sz w:val="28"/>
          <w:szCs w:val="28"/>
          <w14:ligatures w14:val="none"/>
        </w:rPr>
        <w:t>Shuyan</w:t>
      </w:r>
      <w:proofErr w:type="spellEnd"/>
      <w:r w:rsidRPr="0090487C">
        <w:rPr>
          <w:rFonts w:asciiTheme="majorBidi" w:eastAsia="Aptos" w:hAnsiTheme="majorBidi" w:cstheme="majorBidi"/>
          <w:b/>
          <w:bCs/>
          <w:kern w:val="0"/>
          <w:sz w:val="28"/>
          <w:szCs w:val="28"/>
          <w14:ligatures w14:val="none"/>
        </w:rPr>
        <w:t>, 2017</w:t>
      </w:r>
      <w:r w:rsidRPr="0090487C">
        <w:rPr>
          <w:rFonts w:asciiTheme="majorBidi" w:eastAsia="Aptos" w:hAnsiTheme="majorBidi" w:cstheme="majorBidi"/>
          <w:b/>
          <w:bCs/>
          <w:kern w:val="0"/>
          <w:sz w:val="28"/>
          <w:szCs w:val="28"/>
          <w:rtl/>
          <w14:ligatures w14:val="none"/>
        </w:rPr>
        <w:t>)</w:t>
      </w:r>
      <w:r w:rsidRPr="0090487C">
        <w:rPr>
          <w:rFonts w:asciiTheme="majorBidi" w:eastAsia="Aptos" w:hAnsiTheme="majorBidi" w:cstheme="majorBidi"/>
          <w:kern w:val="0"/>
          <w:sz w:val="28"/>
          <w:szCs w:val="28"/>
          <w:rtl/>
          <w14:ligatures w14:val="none"/>
        </w:rPr>
        <w:t xml:space="preserve"> إلى استكشاف مدى نجاح تطبيق حشد المصادر الإلكترونية في تعليم الترجمة المرتكزة على المشاريع لطلاب الجامعة. وأظهرت نتائجها أن هذا النهج يعزز فعالية التدريس، إذ يسهم في زيادة حماس الطلاب وتحفيزهم، ويرفع من مستوى كفاءتهم في إنجاز مشاريع الترجمة.</w:t>
      </w:r>
    </w:p>
    <w:p w14:paraId="19B82E5F"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وسعت دراسة </w:t>
      </w:r>
      <w:proofErr w:type="spellStart"/>
      <w:r w:rsidRPr="0090487C">
        <w:rPr>
          <w:rFonts w:asciiTheme="majorBidi" w:eastAsia="Aptos" w:hAnsiTheme="majorBidi" w:cstheme="majorBidi"/>
          <w:b/>
          <w:bCs/>
          <w:kern w:val="0"/>
          <w:sz w:val="28"/>
          <w:szCs w:val="28"/>
          <w:rtl/>
          <w14:ligatures w14:val="none"/>
        </w:rPr>
        <w:t>جيانج</w:t>
      </w:r>
      <w:proofErr w:type="spellEnd"/>
      <w:r w:rsidRPr="0090487C">
        <w:rPr>
          <w:rFonts w:asciiTheme="majorBidi" w:eastAsia="Aptos" w:hAnsiTheme="majorBidi" w:cstheme="majorBidi"/>
          <w:b/>
          <w:bCs/>
          <w:kern w:val="0"/>
          <w:sz w:val="28"/>
          <w:szCs w:val="28"/>
          <w:rtl/>
          <w14:ligatures w14:val="none"/>
        </w:rPr>
        <w:t xml:space="preserve"> وآخرون (</w:t>
      </w:r>
      <w:r w:rsidRPr="0090487C">
        <w:rPr>
          <w:rFonts w:asciiTheme="majorBidi" w:eastAsia="Aptos" w:hAnsiTheme="majorBidi" w:cstheme="majorBidi"/>
          <w:b/>
          <w:bCs/>
          <w:kern w:val="0"/>
          <w:sz w:val="28"/>
          <w:szCs w:val="28"/>
          <w14:ligatures w14:val="none"/>
        </w:rPr>
        <w:t>Jiang et al., 2018</w:t>
      </w:r>
      <w:r w:rsidRPr="0090487C">
        <w:rPr>
          <w:rFonts w:asciiTheme="majorBidi" w:eastAsia="Aptos" w:hAnsiTheme="majorBidi" w:cstheme="majorBidi"/>
          <w:b/>
          <w:bCs/>
          <w:kern w:val="0"/>
          <w:sz w:val="28"/>
          <w:szCs w:val="28"/>
          <w:rtl/>
          <w14:ligatures w14:val="none"/>
        </w:rPr>
        <w:t>)</w:t>
      </w:r>
      <w:r w:rsidRPr="0090487C">
        <w:rPr>
          <w:rFonts w:asciiTheme="majorBidi" w:eastAsia="Aptos" w:hAnsiTheme="majorBidi" w:cstheme="majorBidi"/>
          <w:kern w:val="0"/>
          <w:sz w:val="28"/>
          <w:szCs w:val="28"/>
          <w:rtl/>
          <w14:ligatures w14:val="none"/>
        </w:rPr>
        <w:t xml:space="preserve"> إلى تقييم فاعلية مدخل تعليمي قائم على حشد المصادر الرقمية، بغية فهم كيفية مساهمته في تحسين الأداء التعليمي. وكشفت النتائج عن دور حشد المصادر في تسهيل إنشاء المحتوى الرقمي، وتعزيز تبادل وجهات النظر والمعارف، وتقديم المساندة والملاحظات البناءة، وإثراء الخبرات التعليمية بين المشاركين في مجتمع التعلم.</w:t>
      </w:r>
    </w:p>
    <w:p w14:paraId="49D7BB1E"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كما استهدفت دراسة </w:t>
      </w:r>
      <w:proofErr w:type="spellStart"/>
      <w:r w:rsidRPr="0090487C">
        <w:rPr>
          <w:rFonts w:asciiTheme="majorBidi" w:eastAsia="Aptos" w:hAnsiTheme="majorBidi" w:cstheme="majorBidi"/>
          <w:b/>
          <w:bCs/>
          <w:kern w:val="0"/>
          <w:sz w:val="28"/>
          <w:szCs w:val="28"/>
          <w:rtl/>
          <w14:ligatures w14:val="none"/>
        </w:rPr>
        <w:t>لاشر</w:t>
      </w:r>
      <w:proofErr w:type="spellEnd"/>
      <w:r w:rsidRPr="0090487C">
        <w:rPr>
          <w:rFonts w:asciiTheme="majorBidi" w:eastAsia="Aptos" w:hAnsiTheme="majorBidi" w:cstheme="majorBidi"/>
          <w:b/>
          <w:bCs/>
          <w:kern w:val="0"/>
          <w:sz w:val="28"/>
          <w:szCs w:val="28"/>
          <w:rtl/>
          <w14:ligatures w14:val="none"/>
        </w:rPr>
        <w:t xml:space="preserve"> وجيبسون (</w:t>
      </w:r>
      <w:r w:rsidRPr="0090487C">
        <w:rPr>
          <w:rFonts w:asciiTheme="majorBidi" w:eastAsia="Aptos" w:hAnsiTheme="majorBidi" w:cstheme="majorBidi"/>
          <w:b/>
          <w:bCs/>
          <w:kern w:val="0"/>
          <w:sz w:val="28"/>
          <w:szCs w:val="28"/>
          <w14:ligatures w14:val="none"/>
        </w:rPr>
        <w:t>Lacher</w:t>
      </w:r>
      <w:r w:rsidRPr="0090487C">
        <w:rPr>
          <w:rFonts w:asciiTheme="majorBidi" w:eastAsia="Aptos" w:hAnsiTheme="majorBidi" w:cstheme="majorBidi"/>
          <w:b/>
          <w:bCs/>
          <w:kern w:val="0"/>
          <w:sz w:val="28"/>
          <w:szCs w:val="28"/>
          <w:rtl/>
          <w14:ligatures w14:val="none"/>
        </w:rPr>
        <w:t xml:space="preserve"> &amp; </w:t>
      </w:r>
      <w:r w:rsidRPr="0090487C">
        <w:rPr>
          <w:rFonts w:asciiTheme="majorBidi" w:eastAsia="Aptos" w:hAnsiTheme="majorBidi" w:cstheme="majorBidi"/>
          <w:b/>
          <w:bCs/>
          <w:kern w:val="0"/>
          <w:sz w:val="28"/>
          <w:szCs w:val="28"/>
          <w14:ligatures w14:val="none"/>
        </w:rPr>
        <w:t>Gibson, 2020</w:t>
      </w:r>
      <w:r w:rsidRPr="0090487C">
        <w:rPr>
          <w:rFonts w:asciiTheme="majorBidi" w:eastAsia="Aptos" w:hAnsiTheme="majorBidi" w:cstheme="majorBidi"/>
          <w:b/>
          <w:bCs/>
          <w:kern w:val="0"/>
          <w:sz w:val="28"/>
          <w:szCs w:val="28"/>
          <w:rtl/>
          <w14:ligatures w14:val="none"/>
        </w:rPr>
        <w:t>)</w:t>
      </w:r>
      <w:r w:rsidRPr="0090487C">
        <w:rPr>
          <w:rFonts w:asciiTheme="majorBidi" w:eastAsia="Aptos" w:hAnsiTheme="majorBidi" w:cstheme="majorBidi"/>
          <w:kern w:val="0"/>
          <w:sz w:val="28"/>
          <w:szCs w:val="28"/>
          <w:rtl/>
          <w14:ligatures w14:val="none"/>
        </w:rPr>
        <w:t xml:space="preserve"> قياس مدى فاعلية الاعتماد على حشد المصادر الإلكترونية لتدريب طلبة الجامعة على بناء بنوك الأسئلة. وأكدت النتائج جدوى هذا الأسلوب في تدريب الطلاب، فضلاً عن دوره في تعميق اندماجهم في العملية التعليمية.</w:t>
      </w:r>
    </w:p>
    <w:p w14:paraId="7432481C"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lastRenderedPageBreak/>
        <w:t xml:space="preserve">وبحثت دراسة </w:t>
      </w:r>
      <w:proofErr w:type="spellStart"/>
      <w:r w:rsidRPr="0090487C">
        <w:rPr>
          <w:rFonts w:asciiTheme="majorBidi" w:eastAsia="Aptos" w:hAnsiTheme="majorBidi" w:cstheme="majorBidi"/>
          <w:b/>
          <w:bCs/>
          <w:kern w:val="0"/>
          <w:sz w:val="28"/>
          <w:szCs w:val="28"/>
          <w:rtl/>
          <w14:ligatures w14:val="none"/>
        </w:rPr>
        <w:t>ويتهل</w:t>
      </w:r>
      <w:proofErr w:type="spellEnd"/>
      <w:r w:rsidRPr="0090487C">
        <w:rPr>
          <w:rFonts w:asciiTheme="majorBidi" w:eastAsia="Aptos" w:hAnsiTheme="majorBidi" w:cstheme="majorBidi"/>
          <w:b/>
          <w:bCs/>
          <w:kern w:val="0"/>
          <w:sz w:val="28"/>
          <w:szCs w:val="28"/>
          <w:rtl/>
          <w14:ligatures w14:val="none"/>
        </w:rPr>
        <w:t xml:space="preserve"> </w:t>
      </w:r>
      <w:proofErr w:type="spellStart"/>
      <w:r w:rsidRPr="0090487C">
        <w:rPr>
          <w:rFonts w:asciiTheme="majorBidi" w:eastAsia="Aptos" w:hAnsiTheme="majorBidi" w:cstheme="majorBidi"/>
          <w:b/>
          <w:bCs/>
          <w:kern w:val="0"/>
          <w:sz w:val="28"/>
          <w:szCs w:val="28"/>
          <w:rtl/>
          <w14:ligatures w14:val="none"/>
        </w:rPr>
        <w:t>وسلتزر</w:t>
      </w:r>
      <w:proofErr w:type="spellEnd"/>
      <w:r w:rsidRPr="0090487C">
        <w:rPr>
          <w:rFonts w:asciiTheme="majorBidi" w:eastAsia="Aptos" w:hAnsiTheme="majorBidi" w:cstheme="majorBidi"/>
          <w:b/>
          <w:bCs/>
          <w:kern w:val="0"/>
          <w:sz w:val="28"/>
          <w:szCs w:val="28"/>
          <w:rtl/>
          <w14:ligatures w14:val="none"/>
        </w:rPr>
        <w:t xml:space="preserve"> (</w:t>
      </w:r>
      <w:r w:rsidRPr="0090487C">
        <w:rPr>
          <w:rFonts w:asciiTheme="majorBidi" w:eastAsia="Aptos" w:hAnsiTheme="majorBidi" w:cstheme="majorBidi"/>
          <w:b/>
          <w:bCs/>
          <w:kern w:val="0"/>
          <w:sz w:val="28"/>
          <w:szCs w:val="28"/>
          <w14:ligatures w14:val="none"/>
        </w:rPr>
        <w:t>Whitehill</w:t>
      </w:r>
      <w:r w:rsidRPr="0090487C">
        <w:rPr>
          <w:rFonts w:asciiTheme="majorBidi" w:eastAsia="Aptos" w:hAnsiTheme="majorBidi" w:cstheme="majorBidi"/>
          <w:b/>
          <w:bCs/>
          <w:kern w:val="0"/>
          <w:sz w:val="28"/>
          <w:szCs w:val="28"/>
          <w:rtl/>
          <w14:ligatures w14:val="none"/>
        </w:rPr>
        <w:t xml:space="preserve"> &amp; </w:t>
      </w:r>
      <w:r w:rsidRPr="0090487C">
        <w:rPr>
          <w:rFonts w:asciiTheme="majorBidi" w:eastAsia="Aptos" w:hAnsiTheme="majorBidi" w:cstheme="majorBidi"/>
          <w:b/>
          <w:bCs/>
          <w:kern w:val="0"/>
          <w:sz w:val="28"/>
          <w:szCs w:val="28"/>
          <w14:ligatures w14:val="none"/>
        </w:rPr>
        <w:t>Seltzer, 2020</w:t>
      </w:r>
      <w:r w:rsidRPr="0090487C">
        <w:rPr>
          <w:rFonts w:asciiTheme="majorBidi" w:eastAsia="Aptos" w:hAnsiTheme="majorBidi" w:cstheme="majorBidi"/>
          <w:b/>
          <w:bCs/>
          <w:kern w:val="0"/>
          <w:sz w:val="28"/>
          <w:szCs w:val="28"/>
          <w:rtl/>
          <w14:ligatures w14:val="none"/>
        </w:rPr>
        <w:t>)</w:t>
      </w:r>
      <w:r w:rsidRPr="0090487C">
        <w:rPr>
          <w:rFonts w:asciiTheme="majorBidi" w:eastAsia="Aptos" w:hAnsiTheme="majorBidi" w:cstheme="majorBidi"/>
          <w:kern w:val="0"/>
          <w:sz w:val="28"/>
          <w:szCs w:val="28"/>
          <w:rtl/>
          <w14:ligatures w14:val="none"/>
        </w:rPr>
        <w:t xml:space="preserve"> في فعالية توظيف حشد المصادر الرقمية لجمع مواد الفيديو التعليمية لدعم التعلم عن بعد، وتعزيز الدافعية لدى طلبة الجامعات. وأثبتت الدراسة كفاءة هذا الأسلوب في تجميع مقاطع الفيديو التعليمية ورفع مستوى الحافز التعليمي لدى الطلاب.</w:t>
      </w:r>
    </w:p>
    <w:p w14:paraId="48054EAF"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أما دراسة </w:t>
      </w:r>
      <w:r w:rsidRPr="0090487C">
        <w:rPr>
          <w:rFonts w:asciiTheme="majorBidi" w:eastAsia="Aptos" w:hAnsiTheme="majorBidi" w:cstheme="majorBidi"/>
          <w:b/>
          <w:bCs/>
          <w:kern w:val="0"/>
          <w:sz w:val="28"/>
          <w:szCs w:val="28"/>
          <w:rtl/>
          <w14:ligatures w14:val="none"/>
        </w:rPr>
        <w:t>حسن (</w:t>
      </w:r>
      <w:r w:rsidRPr="0090487C">
        <w:rPr>
          <w:rFonts w:asciiTheme="majorBidi" w:eastAsia="Aptos" w:hAnsiTheme="majorBidi" w:cstheme="majorBidi"/>
          <w:b/>
          <w:bCs/>
          <w:kern w:val="0"/>
          <w:sz w:val="28"/>
          <w:szCs w:val="28"/>
          <w:rtl/>
          <w:lang w:bidi="fa-IR"/>
          <w14:ligatures w14:val="none"/>
        </w:rPr>
        <w:t>۲۰۲۱)</w:t>
      </w:r>
      <w:r w:rsidRPr="0090487C">
        <w:rPr>
          <w:rFonts w:asciiTheme="majorBidi" w:eastAsia="Aptos" w:hAnsiTheme="majorBidi" w:cstheme="majorBidi"/>
          <w:kern w:val="0"/>
          <w:sz w:val="28"/>
          <w:szCs w:val="28"/>
          <w:rtl/>
          <w14:ligatures w14:val="none"/>
        </w:rPr>
        <w:t>، فقد تحرت أثر تطبيق أنماط مختلفة لحشد المصادر الإلكترونية (تنافسي/ تشاركي/ هجين) عبر منصات التواصل الاجتماعي، في تطوير مهارات البحث العلمي لدى طلبة الدراسات العليا بكلية التربية بجامعة أم القرى. وخلصت إلى أن النمط الهجين لحشد المصادر أظهر فعالية أكبر في صقل مهارات البحث العلمي لدى العينة المدروسة.</w:t>
      </w:r>
    </w:p>
    <w:p w14:paraId="0EA87ACD"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وتناولت دراسة </w:t>
      </w:r>
      <w:r w:rsidRPr="0090487C">
        <w:rPr>
          <w:rFonts w:asciiTheme="majorBidi" w:eastAsia="Aptos" w:hAnsiTheme="majorBidi" w:cstheme="majorBidi"/>
          <w:b/>
          <w:bCs/>
          <w:kern w:val="0"/>
          <w:sz w:val="28"/>
          <w:szCs w:val="28"/>
          <w:rtl/>
          <w14:ligatures w14:val="none"/>
        </w:rPr>
        <w:t>خليل ورجب (</w:t>
      </w:r>
      <w:r w:rsidRPr="0090487C">
        <w:rPr>
          <w:rFonts w:asciiTheme="majorBidi" w:eastAsia="Aptos" w:hAnsiTheme="majorBidi" w:cstheme="majorBidi"/>
          <w:b/>
          <w:bCs/>
          <w:kern w:val="0"/>
          <w:sz w:val="28"/>
          <w:szCs w:val="28"/>
          <w:rtl/>
          <w:lang w:bidi="fa-IR"/>
          <w14:ligatures w14:val="none"/>
        </w:rPr>
        <w:t>۲۰۲۲)</w:t>
      </w:r>
      <w:r w:rsidRPr="0090487C">
        <w:rPr>
          <w:rFonts w:asciiTheme="majorBidi" w:eastAsia="Aptos" w:hAnsiTheme="majorBidi" w:cstheme="majorBidi"/>
          <w:kern w:val="0"/>
          <w:sz w:val="28"/>
          <w:szCs w:val="28"/>
          <w:rtl/>
          <w14:ligatures w14:val="none"/>
        </w:rPr>
        <w:t xml:space="preserve"> أثر نمط حشد المصادر (الداخلي/ الخارجي) ضمن بيئة تدريب رقمية على تطوير مهارات المعلم الرقمي والذكاء الجماعي لدى معلمي مادة العلوم. وأكدت النتائج فعالية تطبيق نمطي حشد المصادر (الداخلي/ الخارجي) في البيئة التدريبية الرقمية لتعزيز تلك المهارات لدى المعلمين المستهدفين.</w:t>
      </w:r>
    </w:p>
    <w:p w14:paraId="707BBB2C"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واختبرت دراسة </w:t>
      </w:r>
      <w:r w:rsidRPr="0090487C">
        <w:rPr>
          <w:rFonts w:asciiTheme="majorBidi" w:eastAsia="Aptos" w:hAnsiTheme="majorBidi" w:cstheme="majorBidi"/>
          <w:b/>
          <w:bCs/>
          <w:kern w:val="0"/>
          <w:sz w:val="28"/>
          <w:szCs w:val="28"/>
          <w:rtl/>
          <w14:ligatures w14:val="none"/>
        </w:rPr>
        <w:t>خميس وآخرون (</w:t>
      </w:r>
      <w:r w:rsidRPr="0090487C">
        <w:rPr>
          <w:rFonts w:asciiTheme="majorBidi" w:eastAsia="Aptos" w:hAnsiTheme="majorBidi" w:cstheme="majorBidi"/>
          <w:b/>
          <w:bCs/>
          <w:kern w:val="0"/>
          <w:sz w:val="28"/>
          <w:szCs w:val="28"/>
          <w:rtl/>
          <w:lang w:bidi="fa-IR"/>
          <w14:ligatures w14:val="none"/>
        </w:rPr>
        <w:t>۲۰۲۲)</w:t>
      </w:r>
      <w:r w:rsidRPr="0090487C">
        <w:rPr>
          <w:rFonts w:asciiTheme="majorBidi" w:eastAsia="Aptos" w:hAnsiTheme="majorBidi" w:cstheme="majorBidi"/>
          <w:kern w:val="0"/>
          <w:sz w:val="28"/>
          <w:szCs w:val="28"/>
          <w:rtl/>
          <w14:ligatures w14:val="none"/>
        </w:rPr>
        <w:t xml:space="preserve"> مدى نجاح تطبيق حشد المصادر بنوعيه (الموجه/ الحر) في بيئة تعلم اجتماعية على الويب، في إكساب الطالبات المعلمات كفاءات تصميم السيناريوهات التعليمية. وأظهرت النتائج فعالية كلا النمطين في تطوير هذه الكفاءات لدى طالبات كلية البنات بجامعة عين شمس، مع عدم وجود اختلاف جوهري بين النمطين (الموجه/ الحر) فيما يتعلق بالتحصيل المعرفي أو الجانب التطبيقي لمهارات تصميم المواقف التعليمية.</w:t>
      </w:r>
    </w:p>
    <w:p w14:paraId="55C889BC"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وهدفت دراسة </w:t>
      </w:r>
      <w:r w:rsidRPr="0090487C">
        <w:rPr>
          <w:rFonts w:asciiTheme="majorBidi" w:eastAsia="Aptos" w:hAnsiTheme="majorBidi" w:cstheme="majorBidi"/>
          <w:b/>
          <w:bCs/>
          <w:kern w:val="0"/>
          <w:sz w:val="28"/>
          <w:szCs w:val="28"/>
          <w:rtl/>
          <w14:ligatures w14:val="none"/>
        </w:rPr>
        <w:t>مصطفي (2023)</w:t>
      </w:r>
      <w:r w:rsidRPr="0090487C">
        <w:rPr>
          <w:rFonts w:asciiTheme="majorBidi" w:eastAsia="Aptos" w:hAnsiTheme="majorBidi" w:cstheme="majorBidi"/>
          <w:kern w:val="0"/>
          <w:sz w:val="28"/>
          <w:szCs w:val="28"/>
          <w:rtl/>
          <w14:ligatures w14:val="none"/>
        </w:rPr>
        <w:t xml:space="preserve"> إلى تقصي فعالية بيئة تعلم رقمية قائمة على حشد المصادر في صقل مهارات حل المشكلات واتخاذ القرارات. وكشفت النتائج عن وجود تحسن ملحوظ إحصائياً في مهارات حل المشكلات لدى المشاركين بعد التجربة، مما يؤكد إيجابية البيئة التعليمية المعتمدة على حشد المصادر في تطوير هذه المهارات.</w:t>
      </w:r>
    </w:p>
    <w:p w14:paraId="0958C9CA"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وسعت دراسة </w:t>
      </w:r>
      <w:proofErr w:type="gramStart"/>
      <w:r w:rsidRPr="0090487C">
        <w:rPr>
          <w:rFonts w:asciiTheme="majorBidi" w:eastAsia="Aptos" w:hAnsiTheme="majorBidi" w:cstheme="majorBidi"/>
          <w:b/>
          <w:bCs/>
          <w:kern w:val="0"/>
          <w:sz w:val="28"/>
          <w:szCs w:val="28"/>
          <w:rtl/>
          <w14:ligatures w14:val="none"/>
        </w:rPr>
        <w:t>عبدالله</w:t>
      </w:r>
      <w:proofErr w:type="gramEnd"/>
      <w:r w:rsidRPr="0090487C">
        <w:rPr>
          <w:rFonts w:asciiTheme="majorBidi" w:eastAsia="Aptos" w:hAnsiTheme="majorBidi" w:cstheme="majorBidi"/>
          <w:b/>
          <w:bCs/>
          <w:kern w:val="0"/>
          <w:sz w:val="28"/>
          <w:szCs w:val="28"/>
          <w:rtl/>
          <w14:ligatures w14:val="none"/>
        </w:rPr>
        <w:t xml:space="preserve"> (</w:t>
      </w:r>
      <w:r w:rsidRPr="0090487C">
        <w:rPr>
          <w:rFonts w:asciiTheme="majorBidi" w:eastAsia="Aptos" w:hAnsiTheme="majorBidi" w:cstheme="majorBidi"/>
          <w:b/>
          <w:bCs/>
          <w:kern w:val="0"/>
          <w:sz w:val="28"/>
          <w:szCs w:val="28"/>
          <w:rtl/>
          <w:lang w:bidi="fa-IR"/>
          <w14:ligatures w14:val="none"/>
        </w:rPr>
        <w:t>۲۰۲۳)</w:t>
      </w:r>
      <w:r w:rsidRPr="0090487C">
        <w:rPr>
          <w:rFonts w:asciiTheme="majorBidi" w:eastAsia="Aptos" w:hAnsiTheme="majorBidi" w:cstheme="majorBidi"/>
          <w:kern w:val="0"/>
          <w:sz w:val="28"/>
          <w:szCs w:val="28"/>
          <w:rtl/>
          <w14:ligatures w14:val="none"/>
        </w:rPr>
        <w:t xml:space="preserve"> إلى فحص تأثير التفاعل بين نمط حشد المصادر (الحر/ الموجه) ومستوى الإحساس بالتواجد الاجتماعي (مرتفع/ منخفض) داخل بيئة تعلم إلكترونية، على تطوير مهارات إدارة المعرفة الرقمية والصلابة النفسية الأكاديمية لدى طلاب دبلوم تكنولوجيا التعليم. وأثبتت النتائج أن حشد المصادر الإلكترونية يساهم بفاعلية في تحسين التحصيل الدراسي وتنمية مهارات إدارة المعرفة الرقمية </w:t>
      </w:r>
      <w:r w:rsidRPr="0090487C">
        <w:rPr>
          <w:rFonts w:asciiTheme="majorBidi" w:eastAsia="Aptos" w:hAnsiTheme="majorBidi" w:cstheme="majorBidi"/>
          <w:kern w:val="0"/>
          <w:sz w:val="28"/>
          <w:szCs w:val="28"/>
          <w:rtl/>
          <w14:ligatures w14:val="none"/>
        </w:rPr>
        <w:lastRenderedPageBreak/>
        <w:t>والصلابة الأكاديمية. كما لوحظ وجود تأثير مشترك لنمط الحشد ومستوى الحضور الاجتماعي على هذه المتغيرات لدى عينة البحث.</w:t>
      </w:r>
    </w:p>
    <w:p w14:paraId="2E4211B7"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وبحثت دراسة </w:t>
      </w:r>
      <w:r w:rsidRPr="0090487C">
        <w:rPr>
          <w:rFonts w:asciiTheme="majorBidi" w:eastAsia="Aptos" w:hAnsiTheme="majorBidi" w:cstheme="majorBidi"/>
          <w:b/>
          <w:bCs/>
          <w:kern w:val="0"/>
          <w:sz w:val="28"/>
          <w:szCs w:val="28"/>
          <w:rtl/>
          <w14:ligatures w14:val="none"/>
        </w:rPr>
        <w:t>عمار (</w:t>
      </w:r>
      <w:r w:rsidRPr="0090487C">
        <w:rPr>
          <w:rFonts w:asciiTheme="majorBidi" w:eastAsia="Aptos" w:hAnsiTheme="majorBidi" w:cstheme="majorBidi"/>
          <w:b/>
          <w:bCs/>
          <w:kern w:val="0"/>
          <w:sz w:val="28"/>
          <w:szCs w:val="28"/>
          <w:rtl/>
          <w:lang w:bidi="fa-IR"/>
          <w14:ligatures w14:val="none"/>
        </w:rPr>
        <w:t>۲۰۲۳)</w:t>
      </w:r>
      <w:r w:rsidRPr="0090487C">
        <w:rPr>
          <w:rFonts w:asciiTheme="majorBidi" w:eastAsia="Aptos" w:hAnsiTheme="majorBidi" w:cstheme="majorBidi"/>
          <w:kern w:val="0"/>
          <w:sz w:val="28"/>
          <w:szCs w:val="28"/>
          <w:rtl/>
          <w14:ligatures w14:val="none"/>
        </w:rPr>
        <w:t xml:space="preserve"> في تأثير نمط حشد المصادر الرقمية (التنافسي/ التشاركي) المدمج مع عناصر التلعيب، على تطوير مهارات استخدام تطبيقات جوجل التعليمية وتعزيز الدافعية للتعلم لدى طلاب تكنولوجيا التعليم. وأظهرت النتائج تفوق النمط التشاركي في تحسين التحصيل وتطوير مهارات استخدام تطبيقات جوجل، بينما لم تظهر فروق ذات دلالة بين النمطين في مستوى الدافعية للتعلم لدى العينة.</w:t>
      </w:r>
    </w:p>
    <w:p w14:paraId="37AE7053"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واستكشفت دراسة </w:t>
      </w:r>
      <w:r w:rsidRPr="0090487C">
        <w:rPr>
          <w:rFonts w:asciiTheme="majorBidi" w:eastAsia="Aptos" w:hAnsiTheme="majorBidi" w:cstheme="majorBidi"/>
          <w:b/>
          <w:bCs/>
          <w:kern w:val="0"/>
          <w:sz w:val="28"/>
          <w:szCs w:val="28"/>
          <w:rtl/>
          <w14:ligatures w14:val="none"/>
        </w:rPr>
        <w:t>السيد والشربيني (</w:t>
      </w:r>
      <w:r w:rsidRPr="0090487C">
        <w:rPr>
          <w:rFonts w:asciiTheme="majorBidi" w:eastAsia="Aptos" w:hAnsiTheme="majorBidi" w:cstheme="majorBidi"/>
          <w:b/>
          <w:bCs/>
          <w:kern w:val="0"/>
          <w:sz w:val="28"/>
          <w:szCs w:val="28"/>
          <w:rtl/>
          <w:lang w:bidi="fa-IR"/>
          <w14:ligatures w14:val="none"/>
        </w:rPr>
        <w:t>۲۰۲۳)</w:t>
      </w:r>
      <w:r w:rsidRPr="0090487C">
        <w:rPr>
          <w:rFonts w:asciiTheme="majorBidi" w:eastAsia="Aptos" w:hAnsiTheme="majorBidi" w:cstheme="majorBidi"/>
          <w:kern w:val="0"/>
          <w:sz w:val="28"/>
          <w:szCs w:val="28"/>
          <w:rtl/>
          <w14:ligatures w14:val="none"/>
        </w:rPr>
        <w:t xml:space="preserve"> أثر التفاعل بين مستويين لحشد المصادر (المصغر/ الموسع) ونوع التوجيه المستخدم (حر/ موجه) ضمن بيئة تعلم إلكتروني متباعد، على تنمية مهارات تصميم وإنتاج عوالم افتراضية ثلاثية الأبعاد لدى طلاب الدراسات العليا. وأكدت النتائج فعالية البيئة التعليمية المعتمدة على حشد المصادر في تطوير هذه المهارات، مع إشارة خاصة إلى التأثير الإيجابي للتفاعل بين الحشد الموسع والتوجيه الحر.</w:t>
      </w:r>
    </w:p>
    <w:p w14:paraId="3A17E7A2"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كما تحرت دراسة </w:t>
      </w:r>
      <w:r w:rsidRPr="0090487C">
        <w:rPr>
          <w:rFonts w:asciiTheme="majorBidi" w:eastAsia="Aptos" w:hAnsiTheme="majorBidi" w:cstheme="majorBidi"/>
          <w:b/>
          <w:bCs/>
          <w:kern w:val="0"/>
          <w:sz w:val="28"/>
          <w:szCs w:val="28"/>
          <w:rtl/>
          <w14:ligatures w14:val="none"/>
        </w:rPr>
        <w:t>وهبه (</w:t>
      </w:r>
      <w:r w:rsidRPr="0090487C">
        <w:rPr>
          <w:rFonts w:asciiTheme="majorBidi" w:eastAsia="Aptos" w:hAnsiTheme="majorBidi" w:cstheme="majorBidi"/>
          <w:b/>
          <w:bCs/>
          <w:kern w:val="0"/>
          <w:sz w:val="28"/>
          <w:szCs w:val="28"/>
          <w:rtl/>
          <w:lang w:bidi="fa-IR"/>
          <w14:ligatures w14:val="none"/>
        </w:rPr>
        <w:t>۲۰۲۳)</w:t>
      </w:r>
      <w:r w:rsidRPr="0090487C">
        <w:rPr>
          <w:rFonts w:asciiTheme="majorBidi" w:eastAsia="Aptos" w:hAnsiTheme="majorBidi" w:cstheme="majorBidi"/>
          <w:kern w:val="0"/>
          <w:sz w:val="28"/>
          <w:szCs w:val="28"/>
          <w:rtl/>
          <w14:ligatures w14:val="none"/>
        </w:rPr>
        <w:t xml:space="preserve"> تأثير اختلاف نمط حشد المصادر (التنافسي/ التشاركي) في بيئة تدريب رقمية معززة بتقنيات الذكاء الاصطناعي، على تطوير مهارات التعلم الرقمي لدى معلمي المرحلة الثانوية. وأظهرت النتائج تفوق النمط التشاركي في تعزيز هذه المهارات ضمن بيئة التدريب المذكورة، مع وجود تأثير قوي وملموس لتطبيق كلا النمطين داخل البيئة التدريبية على عينة البحث.</w:t>
      </w:r>
    </w:p>
    <w:p w14:paraId="421E16A1"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وقامت دراسة </w:t>
      </w:r>
      <w:r w:rsidRPr="0090487C">
        <w:rPr>
          <w:rFonts w:asciiTheme="majorBidi" w:eastAsia="Aptos" w:hAnsiTheme="majorBidi" w:cstheme="majorBidi"/>
          <w:b/>
          <w:bCs/>
          <w:kern w:val="0"/>
          <w:sz w:val="28"/>
          <w:szCs w:val="28"/>
          <w:rtl/>
          <w14:ligatures w14:val="none"/>
        </w:rPr>
        <w:t>ربيع (</w:t>
      </w:r>
      <w:r w:rsidRPr="0090487C">
        <w:rPr>
          <w:rFonts w:asciiTheme="majorBidi" w:eastAsia="Aptos" w:hAnsiTheme="majorBidi" w:cstheme="majorBidi"/>
          <w:b/>
          <w:bCs/>
          <w:kern w:val="0"/>
          <w:sz w:val="28"/>
          <w:szCs w:val="28"/>
          <w:rtl/>
          <w:lang w:bidi="fa-IR"/>
          <w14:ligatures w14:val="none"/>
        </w:rPr>
        <w:t>۲۰۲۳)</w:t>
      </w:r>
      <w:r w:rsidRPr="0090487C">
        <w:rPr>
          <w:rFonts w:asciiTheme="majorBidi" w:eastAsia="Aptos" w:hAnsiTheme="majorBidi" w:cstheme="majorBidi"/>
          <w:kern w:val="0"/>
          <w:sz w:val="28"/>
          <w:szCs w:val="28"/>
          <w:rtl/>
          <w14:ligatures w14:val="none"/>
        </w:rPr>
        <w:t xml:space="preserve"> بتطوير استراتيجية مقترحة لدمج حشد المصادر في عملية الاختبارات الإلكترونية، وقاست أثرها على مستوى التحصيل الدراسي وجودة بنود الاختبار المُعد بواسطة الحشد، بالإضافة إلى استطلاع آراء الطالبات المعلمات حولها. وأثبتت النتائج فعالية الاستراتيجية المقترحة في تحسين التحصيل وجودة مفردات الاختبار، وانعكاس ذلك إيجاباً على تصورات الطالبات المعلمات.</w:t>
      </w:r>
    </w:p>
    <w:p w14:paraId="17570418"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ودرس </w:t>
      </w:r>
      <w:r w:rsidRPr="0090487C">
        <w:rPr>
          <w:rFonts w:asciiTheme="majorBidi" w:eastAsia="Aptos" w:hAnsiTheme="majorBidi" w:cstheme="majorBidi"/>
          <w:b/>
          <w:bCs/>
          <w:kern w:val="0"/>
          <w:sz w:val="28"/>
          <w:szCs w:val="28"/>
          <w:rtl/>
          <w14:ligatures w14:val="none"/>
        </w:rPr>
        <w:t>السيد وآخرون (2023)</w:t>
      </w:r>
      <w:r w:rsidRPr="0090487C">
        <w:rPr>
          <w:rFonts w:asciiTheme="majorBidi" w:eastAsia="Aptos" w:hAnsiTheme="majorBidi" w:cstheme="majorBidi"/>
          <w:kern w:val="0"/>
          <w:sz w:val="28"/>
          <w:szCs w:val="28"/>
          <w:rtl/>
          <w14:ligatures w14:val="none"/>
        </w:rPr>
        <w:t xml:space="preserve"> أثر نمط تقديم التغذية الراجعة (صور/ فيديو) في بيئة تعلم إلكترونية تعتمد على حشد المصادر، على الحد من ظاهرة التجول العقلي لدى طلاب المرحلة الإعدادية. توصلت النتائج إلى وجود فرق دال إحصائيًا لصالح المجموعة التي تلقت التغذية الراجعة باستخدام الصور في خفض التجول العقلي.</w:t>
      </w:r>
    </w:p>
    <w:p w14:paraId="0044CBE3"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واستقصت دراسة </w:t>
      </w:r>
      <w:r w:rsidRPr="0090487C">
        <w:rPr>
          <w:rFonts w:asciiTheme="majorBidi" w:eastAsia="Aptos" w:hAnsiTheme="majorBidi" w:cstheme="majorBidi"/>
          <w:b/>
          <w:bCs/>
          <w:kern w:val="0"/>
          <w:sz w:val="28"/>
          <w:szCs w:val="28"/>
          <w:rtl/>
          <w14:ligatures w14:val="none"/>
        </w:rPr>
        <w:t>عبد المعبود (2023)</w:t>
      </w:r>
      <w:r w:rsidRPr="0090487C">
        <w:rPr>
          <w:rFonts w:asciiTheme="majorBidi" w:eastAsia="Aptos" w:hAnsiTheme="majorBidi" w:cstheme="majorBidi"/>
          <w:kern w:val="0"/>
          <w:sz w:val="28"/>
          <w:szCs w:val="28"/>
          <w:rtl/>
          <w14:ligatures w14:val="none"/>
        </w:rPr>
        <w:t xml:space="preserve"> أثر نمطي التوجيه القائم على حشد المصادر (الانتقائي/ المفتوح) بمنصات التعلم الإلكتروني، وتفاعلهما مع وجهة الضبط (داخلي/ خارجي) لدى طلاب تكنولوجيا </w:t>
      </w:r>
      <w:r w:rsidRPr="0090487C">
        <w:rPr>
          <w:rFonts w:asciiTheme="majorBidi" w:eastAsia="Aptos" w:hAnsiTheme="majorBidi" w:cstheme="majorBidi"/>
          <w:kern w:val="0"/>
          <w:sz w:val="28"/>
          <w:szCs w:val="28"/>
          <w:rtl/>
          <w14:ligatures w14:val="none"/>
        </w:rPr>
        <w:lastRenderedPageBreak/>
        <w:t>التعليم، على تنمية الفهم العميق والوعي المعلوماتي وخفض التجول العقلي. كشفت النتائج عن وجود فروق دالة إحصائيًا لصالح نمط التوجيه الانتقائي مع وجهة الضبط الداخلية في تحسين التحصيل، وتنمية الفهم العميق والوعي المعلوماتي، وخفض التجول العقلي، مع وجود تأثير للتفاعل بين نمط التوجيه ووجهة الضبط.</w:t>
      </w:r>
    </w:p>
    <w:p w14:paraId="6A4E7BA9"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وهدفت دراسة </w:t>
      </w:r>
      <w:r w:rsidRPr="0090487C">
        <w:rPr>
          <w:rFonts w:asciiTheme="majorBidi" w:eastAsia="Aptos" w:hAnsiTheme="majorBidi" w:cstheme="majorBidi"/>
          <w:b/>
          <w:bCs/>
          <w:kern w:val="0"/>
          <w:sz w:val="28"/>
          <w:szCs w:val="28"/>
          <w:rtl/>
          <w14:ligatures w14:val="none"/>
        </w:rPr>
        <w:t>عبد الله وسالم (2024)</w:t>
      </w:r>
      <w:r w:rsidRPr="0090487C">
        <w:rPr>
          <w:rFonts w:asciiTheme="majorBidi" w:eastAsia="Aptos" w:hAnsiTheme="majorBidi" w:cstheme="majorBidi"/>
          <w:kern w:val="0"/>
          <w:sz w:val="28"/>
          <w:szCs w:val="28"/>
          <w:rtl/>
          <w14:ligatures w14:val="none"/>
        </w:rPr>
        <w:t xml:space="preserve"> إلى استجلاء أثر التفاعل بين نمط حشد المصادر وأسلوب التعلم، في سياق نموذج يراعي الخبرة المعرفية (السابقة والمكتسبة)، على تنمية مهارات تصميم بحوث الفعل التطويرية وتحسين المرونة المعرفية. وأظهرت النتائج أن استخدام تقنيات حشد المصادر المبنية على الذكاء الجماعي يعزز بفاعلية قدرة الطلاب على تصميم البحوث ويزيد من مرونتهم في التعامل مع التحديات المعرفية.</w:t>
      </w:r>
    </w:p>
    <w:p w14:paraId="5FEAE513"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وبحثت دراسة </w:t>
      </w:r>
      <w:r w:rsidRPr="0090487C">
        <w:rPr>
          <w:rFonts w:asciiTheme="majorBidi" w:eastAsia="Aptos" w:hAnsiTheme="majorBidi" w:cstheme="majorBidi"/>
          <w:b/>
          <w:bCs/>
          <w:kern w:val="0"/>
          <w:sz w:val="28"/>
          <w:szCs w:val="28"/>
          <w:rtl/>
          <w14:ligatures w14:val="none"/>
        </w:rPr>
        <w:t>خليفة ومحمد (2024)</w:t>
      </w:r>
      <w:r w:rsidRPr="0090487C">
        <w:rPr>
          <w:rFonts w:asciiTheme="majorBidi" w:eastAsia="Aptos" w:hAnsiTheme="majorBidi" w:cstheme="majorBidi"/>
          <w:kern w:val="0"/>
          <w:sz w:val="28"/>
          <w:szCs w:val="28"/>
          <w:rtl/>
          <w14:ligatures w14:val="none"/>
        </w:rPr>
        <w:t xml:space="preserve"> في أثر التفاعل بين نوع التوجيه القائم على حشد المصادر (موجه/ حر) ومحفزات الألعاب (نقاط/ قوائم متصدرين) ضمن بيئة تعلم إلكترونية، على تنمية التحصيل والاندماج الأكاديمي والذكاء الجمعي لدى طلاب الدراسات العليا. توصلت الدراسة إلى وجود أثر للتفاعل على التحصيل والاندماج الأكاديمي بشكل متساوٍ بين المجموعات، بينما كان الأثر على الذكاء الجمعي لصالح المجموعة التي جمعت بين التوجيه الموجه وقوائم المتصدرين كمحفز. وأوصت الدراسة بتوظيف التوجيه ومحفزات الألعاب في تعلم مهارات متنوعة بمقررات أخرى.</w:t>
      </w:r>
    </w:p>
    <w:p w14:paraId="5162FA98"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كما استقصت دراسة </w:t>
      </w:r>
      <w:r w:rsidRPr="0090487C">
        <w:rPr>
          <w:rFonts w:asciiTheme="majorBidi" w:eastAsia="Aptos" w:hAnsiTheme="majorBidi" w:cstheme="majorBidi"/>
          <w:b/>
          <w:bCs/>
          <w:kern w:val="0"/>
          <w:sz w:val="28"/>
          <w:szCs w:val="28"/>
          <w:rtl/>
          <w14:ligatures w14:val="none"/>
        </w:rPr>
        <w:t>وهبه (2024)</w:t>
      </w:r>
      <w:r w:rsidRPr="0090487C">
        <w:rPr>
          <w:rFonts w:asciiTheme="majorBidi" w:eastAsia="Aptos" w:hAnsiTheme="majorBidi" w:cstheme="majorBidi"/>
          <w:kern w:val="0"/>
          <w:sz w:val="28"/>
          <w:szCs w:val="28"/>
          <w:rtl/>
          <w14:ligatures w14:val="none"/>
        </w:rPr>
        <w:t xml:space="preserve"> تأثير نمط حشد المصادر (التنافسي/ التشاركي) ضمن بيئة تدريب إلكترونية مدعومة بروبوتات الدردشة، على تطوير مهارات إدارة الفصول الافتراضية لدى معلمي المرحلة الثانوية. كشفت النتائج عن تفوق النمط التشاركي لحشد المصادر في تحسين الجوانب المعرفية والأدائية لهذه المهارات مقارنة بالنمط التنافسي.</w:t>
      </w:r>
    </w:p>
    <w:p w14:paraId="5D347A40"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وتناولت دراسة </w:t>
      </w:r>
      <w:r w:rsidRPr="0090487C">
        <w:rPr>
          <w:rFonts w:asciiTheme="majorBidi" w:eastAsia="Aptos" w:hAnsiTheme="majorBidi" w:cstheme="majorBidi"/>
          <w:b/>
          <w:bCs/>
          <w:kern w:val="0"/>
          <w:sz w:val="28"/>
          <w:szCs w:val="28"/>
          <w:rtl/>
          <w14:ligatures w14:val="none"/>
        </w:rPr>
        <w:t>مرسي (2024)</w:t>
      </w:r>
      <w:r w:rsidRPr="0090487C">
        <w:rPr>
          <w:rFonts w:asciiTheme="majorBidi" w:eastAsia="Aptos" w:hAnsiTheme="majorBidi" w:cstheme="majorBidi"/>
          <w:kern w:val="0"/>
          <w:sz w:val="28"/>
          <w:szCs w:val="28"/>
          <w:rtl/>
          <w14:ligatures w14:val="none"/>
        </w:rPr>
        <w:t xml:space="preserve"> أثر أنماط مختلفة للتلعيب التنافسي (ذاتي/ مقارن/ جماعي) المرتكز على حشد المصادر الإلكترونية، في تنمية مهارات التحول الرقمي والتنور التقني والشغف الأكاديمي لدى طلاب تكنولوجيا التعليم. أظهرت النتائج وجود فروق بين الأنماط؛ حيث تفوق التلعيب التنافسي بشكل عام في التحصيل المعرفي، بينما كان للتلعيب المقارن أثر أكبر على الأداء، وتفوق التلعيب الجماعي في تنمية التنور التقني والشغف الأكاديمي.</w:t>
      </w:r>
    </w:p>
    <w:p w14:paraId="4142CBB5"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واستكشفت دراسة </w:t>
      </w:r>
      <w:r w:rsidRPr="0090487C">
        <w:rPr>
          <w:rFonts w:asciiTheme="majorBidi" w:eastAsia="Aptos" w:hAnsiTheme="majorBidi" w:cstheme="majorBidi"/>
          <w:b/>
          <w:bCs/>
          <w:kern w:val="0"/>
          <w:sz w:val="28"/>
          <w:szCs w:val="28"/>
          <w:rtl/>
          <w14:ligatures w14:val="none"/>
        </w:rPr>
        <w:t>حجازي والعطار (2024)</w:t>
      </w:r>
      <w:r w:rsidRPr="0090487C">
        <w:rPr>
          <w:rFonts w:asciiTheme="majorBidi" w:eastAsia="Aptos" w:hAnsiTheme="majorBidi" w:cstheme="majorBidi"/>
          <w:kern w:val="0"/>
          <w:sz w:val="28"/>
          <w:szCs w:val="28"/>
          <w:rtl/>
          <w14:ligatures w14:val="none"/>
        </w:rPr>
        <w:t xml:space="preserve"> تأثير التفاعل بين نمطي حشد المصادر (التنافسي/ التشاركي) وأسلوب البحث (الإلكتروني/ الذكي) في بيئة تدريب إلكترونية، على تطوير مهارات </w:t>
      </w:r>
      <w:proofErr w:type="spellStart"/>
      <w:r w:rsidRPr="0090487C">
        <w:rPr>
          <w:rFonts w:asciiTheme="majorBidi" w:eastAsia="Aptos" w:hAnsiTheme="majorBidi" w:cstheme="majorBidi"/>
          <w:kern w:val="0"/>
          <w:sz w:val="28"/>
          <w:szCs w:val="28"/>
          <w:rtl/>
          <w14:ligatures w14:val="none"/>
        </w:rPr>
        <w:t>أخصائيي</w:t>
      </w:r>
      <w:proofErr w:type="spellEnd"/>
      <w:r w:rsidRPr="0090487C">
        <w:rPr>
          <w:rFonts w:asciiTheme="majorBidi" w:eastAsia="Aptos" w:hAnsiTheme="majorBidi" w:cstheme="majorBidi"/>
          <w:kern w:val="0"/>
          <w:sz w:val="28"/>
          <w:szCs w:val="28"/>
          <w:rtl/>
          <w14:ligatures w14:val="none"/>
        </w:rPr>
        <w:t xml:space="preserve"> التخاطب اللازمة لتقييم الأطفال ذوي اضطراب طيف التوحد. لم تجد الدراسة فروقًا دالة إحصائيًا بين </w:t>
      </w:r>
      <w:r w:rsidRPr="0090487C">
        <w:rPr>
          <w:rFonts w:asciiTheme="majorBidi" w:eastAsia="Aptos" w:hAnsiTheme="majorBidi" w:cstheme="majorBidi"/>
          <w:kern w:val="0"/>
          <w:sz w:val="28"/>
          <w:szCs w:val="28"/>
          <w:rtl/>
          <w14:ligatures w14:val="none"/>
        </w:rPr>
        <w:lastRenderedPageBreak/>
        <w:t>المجموعات في التحصيل المعرفي، لكنها وجدت فرقًا دالًا في الأداء المهاري لصالح نمط حشد المصادر التشاركي وأسلوب البحث الذكي كل على حدة، دون وجود تأثير للتفاعل بينهما على الأداء المهاري. وأرجعت الدراسة ذلك إلى كفاءة تصميم بيئة التدريب في تلبية احتياجات المتدربين ومراعاة الأسس النظرية.</w:t>
      </w:r>
    </w:p>
    <w:p w14:paraId="3A8DAC28"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وبحثت دراسة </w:t>
      </w:r>
      <w:r w:rsidRPr="0090487C">
        <w:rPr>
          <w:rFonts w:asciiTheme="majorBidi" w:eastAsia="Aptos" w:hAnsiTheme="majorBidi" w:cstheme="majorBidi"/>
          <w:b/>
          <w:bCs/>
          <w:kern w:val="0"/>
          <w:sz w:val="28"/>
          <w:szCs w:val="28"/>
          <w:rtl/>
          <w14:ligatures w14:val="none"/>
        </w:rPr>
        <w:t>سالم وهداية (2024)</w:t>
      </w:r>
      <w:r w:rsidRPr="0090487C">
        <w:rPr>
          <w:rFonts w:asciiTheme="majorBidi" w:eastAsia="Aptos" w:hAnsiTheme="majorBidi" w:cstheme="majorBidi"/>
          <w:kern w:val="0"/>
          <w:sz w:val="28"/>
          <w:szCs w:val="28"/>
          <w:rtl/>
          <w14:ligatures w14:val="none"/>
        </w:rPr>
        <w:t xml:space="preserve"> في أثر نمطي حشد المصادر (المفتوح/ الانتقائي) ضمن بيئة تدريب نقالة، على تنمية مهارات الأمن السيبراني والذكاء الرقمي لدى أعضاء هيئة التدريس ومعاونيهم، مع الأخذ في الاعتبار مستوى شغفهم الأكاديمي (المتناغم/ </w:t>
      </w:r>
      <w:proofErr w:type="spellStart"/>
      <w:r w:rsidRPr="0090487C">
        <w:rPr>
          <w:rFonts w:asciiTheme="majorBidi" w:eastAsia="Aptos" w:hAnsiTheme="majorBidi" w:cstheme="majorBidi"/>
          <w:kern w:val="0"/>
          <w:sz w:val="28"/>
          <w:szCs w:val="28"/>
          <w:rtl/>
          <w14:ligatures w14:val="none"/>
        </w:rPr>
        <w:t>الاستحواذي</w:t>
      </w:r>
      <w:proofErr w:type="spellEnd"/>
      <w:r w:rsidRPr="0090487C">
        <w:rPr>
          <w:rFonts w:asciiTheme="majorBidi" w:eastAsia="Aptos" w:hAnsiTheme="majorBidi" w:cstheme="majorBidi"/>
          <w:kern w:val="0"/>
          <w:sz w:val="28"/>
          <w:szCs w:val="28"/>
          <w:rtl/>
          <w14:ligatures w14:val="none"/>
        </w:rPr>
        <w:t>). أظهرت النتائج تفوق المجموعة التي جمعت بين حشد المصادر المفتوح والشغف المتناغم في تنمية الجوانب المعرفية والأدائية لمهارات الأمن السيبراني وكذلك الذكاء الرقمي. كما أكدت الدراسة فاعلية بيئة التدريب النقال، وأشارت إلى التأثير الإيجابي للشغف المتناغم، خاصة عند اقترانه بنمط الحشد المفتوح. وأوصت بتصميم بيئات تدريب تعتمد على الحشد المفتوح لتعزيز هذه المهارات الهامة.</w:t>
      </w:r>
    </w:p>
    <w:p w14:paraId="6812465B"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ودرست </w:t>
      </w:r>
      <w:r w:rsidRPr="0090487C">
        <w:rPr>
          <w:rFonts w:asciiTheme="majorBidi" w:eastAsia="Aptos" w:hAnsiTheme="majorBidi" w:cstheme="majorBidi"/>
          <w:b/>
          <w:bCs/>
          <w:kern w:val="0"/>
          <w:sz w:val="28"/>
          <w:szCs w:val="28"/>
          <w:rtl/>
          <w14:ligatures w14:val="none"/>
        </w:rPr>
        <w:t>بلال (2024)</w:t>
      </w:r>
      <w:r w:rsidRPr="0090487C">
        <w:rPr>
          <w:rFonts w:asciiTheme="majorBidi" w:eastAsia="Aptos" w:hAnsiTheme="majorBidi" w:cstheme="majorBidi"/>
          <w:kern w:val="0"/>
          <w:sz w:val="28"/>
          <w:szCs w:val="28"/>
          <w:rtl/>
          <w14:ligatures w14:val="none"/>
        </w:rPr>
        <w:t xml:space="preserve"> أثر اختلاف نمط حشد المصادر الإلكترونية (تنافسي/ تشاركي/ هجين) في مهام ويب على اكتساب المفاهيم الأساسية في تكنولوجيا التعليم وخفض العبء المعرفي لدى الطلاب المعلمين. لم تجد الدراسة فروقًا ذات دلالة إحصائية بين الأنماط الثلاثة في اكتساب المفاهيم، وإن كانت المتوسطات تشير إلى تفوق طفيف للنمط الهجين. كما ساهمت جميع الأنماط في خفض العبء المعرفي، مع فروق طفيفة غير دالة لصالح النمط الهجين أيضًا.</w:t>
      </w:r>
    </w:p>
    <w:p w14:paraId="20220A5F" w14:textId="77777777" w:rsidR="0090487C" w:rsidRPr="0090487C" w:rsidRDefault="0090487C" w:rsidP="0090487C">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واستهدفت دراسة </w:t>
      </w:r>
      <w:r w:rsidRPr="0090487C">
        <w:rPr>
          <w:rFonts w:asciiTheme="majorBidi" w:eastAsia="Aptos" w:hAnsiTheme="majorBidi" w:cstheme="majorBidi"/>
          <w:b/>
          <w:bCs/>
          <w:kern w:val="0"/>
          <w:sz w:val="28"/>
          <w:szCs w:val="28"/>
          <w:rtl/>
          <w14:ligatures w14:val="none"/>
        </w:rPr>
        <w:t>الدوسري وآخرون (2025)</w:t>
      </w:r>
      <w:r w:rsidRPr="0090487C">
        <w:rPr>
          <w:rFonts w:asciiTheme="majorBidi" w:eastAsia="Aptos" w:hAnsiTheme="majorBidi" w:cstheme="majorBidi"/>
          <w:kern w:val="0"/>
          <w:sz w:val="28"/>
          <w:szCs w:val="28"/>
          <w:rtl/>
          <w14:ligatures w14:val="none"/>
        </w:rPr>
        <w:t xml:space="preserve"> بناء نموذج مقترح لتطبيق حشد المصادر ضمن بيئات التعلم المقلوب، وقياس مدى تأثيره على تعزيز الدافعية للإنجاز في مادة التقنية الرقمية لدى طلاب المرحلة الثانوية. وباستخدام تصميم شبه تجريبي على عينة مكونة من (60) طالباً، كشفت النتائج عن تفوق المجموعة التي تعلمت وفق النموذج المقترح القائم على حشد المصادر في بيئة التعلم المقلوب، مما يبرهن على فعالية هذا النموذج في رفع مستوى الدافعية للإنجاز بأبعادها المختلفة (كالطموح والمثابرة والتنافس والقبول الاجتماعي).</w:t>
      </w:r>
    </w:p>
    <w:p w14:paraId="64F26357" w14:textId="0D94DC11" w:rsidR="0090487C" w:rsidRPr="0008291E" w:rsidRDefault="0090487C" w:rsidP="00B959FE">
      <w:pPr>
        <w:bidi/>
        <w:spacing w:line="360" w:lineRule="auto"/>
        <w:ind w:firstLine="720"/>
        <w:jc w:val="both"/>
        <w:rPr>
          <w:rFonts w:asciiTheme="majorBidi" w:eastAsia="Aptos" w:hAnsiTheme="majorBidi" w:cstheme="majorBidi"/>
          <w:kern w:val="0"/>
          <w:sz w:val="28"/>
          <w:szCs w:val="28"/>
          <w:rtl/>
          <w14:ligatures w14:val="none"/>
        </w:rPr>
      </w:pPr>
      <w:r w:rsidRPr="0090487C">
        <w:rPr>
          <w:rFonts w:asciiTheme="majorBidi" w:eastAsia="Aptos" w:hAnsiTheme="majorBidi" w:cstheme="majorBidi"/>
          <w:kern w:val="0"/>
          <w:sz w:val="28"/>
          <w:szCs w:val="28"/>
          <w:rtl/>
          <w14:ligatures w14:val="none"/>
        </w:rPr>
        <w:t xml:space="preserve">أما دراسة </w:t>
      </w:r>
      <w:proofErr w:type="spellStart"/>
      <w:r w:rsidRPr="0090487C">
        <w:rPr>
          <w:rFonts w:asciiTheme="majorBidi" w:eastAsia="Aptos" w:hAnsiTheme="majorBidi" w:cstheme="majorBidi"/>
          <w:b/>
          <w:bCs/>
          <w:kern w:val="0"/>
          <w:sz w:val="28"/>
          <w:szCs w:val="28"/>
          <w:rtl/>
          <w14:ligatures w14:val="none"/>
        </w:rPr>
        <w:t>كرسون</w:t>
      </w:r>
      <w:proofErr w:type="spellEnd"/>
      <w:r w:rsidRPr="0090487C">
        <w:rPr>
          <w:rFonts w:asciiTheme="majorBidi" w:eastAsia="Aptos" w:hAnsiTheme="majorBidi" w:cstheme="majorBidi"/>
          <w:b/>
          <w:bCs/>
          <w:kern w:val="0"/>
          <w:sz w:val="28"/>
          <w:szCs w:val="28"/>
          <w:rtl/>
          <w14:ligatures w14:val="none"/>
        </w:rPr>
        <w:t xml:space="preserve"> وآخرون (2025)</w:t>
      </w:r>
      <w:r w:rsidRPr="0090487C">
        <w:rPr>
          <w:rFonts w:asciiTheme="majorBidi" w:eastAsia="Aptos" w:hAnsiTheme="majorBidi" w:cstheme="majorBidi"/>
          <w:kern w:val="0"/>
          <w:sz w:val="28"/>
          <w:szCs w:val="28"/>
          <w:rtl/>
          <w14:ligatures w14:val="none"/>
        </w:rPr>
        <w:t>، فقد بحثت في أثر تصميم بيئة تدريب عبر الأجهزة المحمولة تعتمد على نمطي حشد المصادر (التنافسي/ التشاركي) في تطوير الكفاءات المعرفية والتطبيقية المرتبطة بالتحول الرقمي لدى معلمي الحاسب الآلي في الأزهر الشريف. وأظهرت النتائج رجحان كفة النمط التشاركي في تنمية هذه الكفاءات مقارنة بالنمط التنافسي، وعزت الدراسة هذا التفوق إلى المزايا المتعددة لبيئات التدريب المتنقلة، مثل مرونتها وقدرتها على تحسين التواصل وزيادة الحافز ومنح المتدربين شعوراً أكبر بالاستقلالية.</w:t>
      </w:r>
    </w:p>
    <w:p w14:paraId="6528FB07" w14:textId="485E44D4" w:rsidR="00D04B29" w:rsidRPr="005D5436" w:rsidRDefault="00B959FE" w:rsidP="00B959FE">
      <w:pPr>
        <w:bidi/>
        <w:spacing w:line="360" w:lineRule="auto"/>
        <w:ind w:firstLine="720"/>
        <w:jc w:val="both"/>
        <w:rPr>
          <w:rFonts w:asciiTheme="majorBidi" w:eastAsia="Aptos" w:hAnsiTheme="majorBidi" w:cstheme="majorBidi"/>
          <w:kern w:val="0"/>
          <w:sz w:val="28"/>
          <w:szCs w:val="28"/>
          <w:rtl/>
          <w14:ligatures w14:val="none"/>
        </w:rPr>
      </w:pPr>
      <w:r w:rsidRPr="00B959FE">
        <w:rPr>
          <w:rFonts w:asciiTheme="majorBidi" w:eastAsia="Aptos" w:hAnsiTheme="majorBidi" w:cstheme="majorBidi"/>
          <w:kern w:val="0"/>
          <w:sz w:val="28"/>
          <w:szCs w:val="28"/>
          <w:rtl/>
          <w14:ligatures w14:val="none"/>
        </w:rPr>
        <w:lastRenderedPageBreak/>
        <w:t xml:space="preserve">يتجلى بوضوح من استعراض الدراسات السابقة أن توظيف حشد المصادر ضمن بيئات التعلم الإلكتروني المختلفة، سواء بشكل مستقل أو مدمج مع استراتيجيات أخرى كالتلعيب أو أنماط محددة للتغذية الراجعة أو أساليب البحث أو أنماط التوجيه، يسهم بشكل فعال في تطوير طيف واسع من مخرجات التعلم الإيجابية. تشمل هذه المخرجات تعزيز الدافعية للتعلم وتحقيق الإنجاز، وتنمية الذكاء الجمعي، وتحفيز حالة التدفق أثناء التعلم، وصقل مهارات إنتاج المحتوى الرقمي، </w:t>
      </w:r>
      <w:r w:rsidRPr="00B959FE">
        <w:rPr>
          <w:rFonts w:asciiTheme="majorBidi" w:eastAsia="Aptos" w:hAnsiTheme="majorBidi" w:cstheme="majorBidi"/>
          <w:b/>
          <w:bCs/>
          <w:kern w:val="0"/>
          <w:sz w:val="28"/>
          <w:szCs w:val="28"/>
          <w:rtl/>
          <w14:ligatures w14:val="none"/>
        </w:rPr>
        <w:t>وتحسين جودة إنتاج المشروعات التعليمية</w:t>
      </w:r>
      <w:r w:rsidRPr="00B959FE">
        <w:rPr>
          <w:rFonts w:asciiTheme="majorBidi" w:eastAsia="Aptos" w:hAnsiTheme="majorBidi" w:cstheme="majorBidi"/>
          <w:kern w:val="0"/>
          <w:sz w:val="28"/>
          <w:szCs w:val="28"/>
          <w:rtl/>
          <w14:ligatures w14:val="none"/>
        </w:rPr>
        <w:t>، ورفع مستوى الوعي ومهارات الأمن السيبراني، ودعم التعلم ذاتي التوجيه، وتعزيز الاندماج الأكاديمي، والشغف الأكاديمي، وخفض التجول العقلي، وتنمية الفهم العميق والوعي المعلوماتي، واكتساب المفاهيم (مثل مفاهيم تكنولوجيا التعليم)، وخفض العبء المعرفي. كما يمتد التأثير الإيجابي ليشمل تطوير مهارات تصميم المواقف التعليمية، وكفاءات المعلم الرقمي، ومهارات إدارة الفصول الافتراضية، ومهارات أخصائي التخاطب (خاصة الأداء المهاري في تقييم اضطراب طيف التوحد)، والقدرة على استخدام تطبيقات جوجل التعليمية بفاعلية، ومهارات إنتاج العوالم الافتراضية ثلاثية الأبعاد، ومهارات التعلم الرقمي بشكل عام، بالإضافة إلى كفايات ومهارات التحول الرقمي، والتنور التقني، والذكاء الرقمي، ومهارات حل المشكلات واتخاذ القرارات الصائبة، وتصميم بحوث الفعل، وتحسين المرونة المعرفية، وتقديم تغذية راجعة بناءة، وزيادة الانخراط والتفاعل في مجتمعات التعلم الاجتماعية، وتنمية القدرات الإبداعية، وغيرها من المهارات والكفاءات المتنوعة</w:t>
      </w:r>
      <w:r w:rsidRPr="00B959FE">
        <w:rPr>
          <w:rFonts w:asciiTheme="majorBidi" w:eastAsia="Aptos" w:hAnsiTheme="majorBidi" w:cstheme="majorBidi"/>
          <w:kern w:val="0"/>
          <w:sz w:val="28"/>
          <w:szCs w:val="28"/>
          <w14:ligatures w14:val="none"/>
        </w:rPr>
        <w:t>.</w:t>
      </w:r>
    </w:p>
    <w:p w14:paraId="0661B9BB" w14:textId="77777777" w:rsidR="005D5436" w:rsidRPr="0008291E" w:rsidRDefault="005D5436" w:rsidP="005D5436">
      <w:pPr>
        <w:bidi/>
        <w:rPr>
          <w:rFonts w:asciiTheme="majorBidi" w:hAnsiTheme="majorBidi" w:cstheme="majorBidi"/>
          <w:rtl/>
          <w:lang w:bidi="ar-EG"/>
        </w:rPr>
      </w:pPr>
    </w:p>
    <w:p w14:paraId="7333BFF5" w14:textId="77777777" w:rsidR="00CD469A" w:rsidRPr="0008291E" w:rsidRDefault="00CD469A" w:rsidP="00AF63CD">
      <w:pPr>
        <w:pStyle w:val="Heading1"/>
        <w:bidi/>
        <w:rPr>
          <w:rFonts w:asciiTheme="majorBidi" w:hAnsiTheme="majorBidi"/>
        </w:rPr>
      </w:pPr>
      <w:r w:rsidRPr="0008291E">
        <w:rPr>
          <w:rFonts w:asciiTheme="majorBidi" w:hAnsiTheme="majorBidi"/>
          <w:rtl/>
        </w:rPr>
        <w:t>المحور الثاني: حل المشكلات – التدفق الذهني لطلاب المرحلة الثانوية</w:t>
      </w:r>
    </w:p>
    <w:p w14:paraId="04F8202E" w14:textId="77777777" w:rsidR="00CD469A" w:rsidRPr="0008291E" w:rsidRDefault="00CD469A" w:rsidP="00842E20">
      <w:pPr>
        <w:bidi/>
        <w:ind w:firstLine="720"/>
        <w:rPr>
          <w:rFonts w:asciiTheme="majorBidi" w:hAnsiTheme="majorBidi" w:cstheme="majorBidi"/>
          <w:sz w:val="32"/>
          <w:szCs w:val="32"/>
        </w:rPr>
      </w:pPr>
      <w:r w:rsidRPr="0008291E">
        <w:rPr>
          <w:rFonts w:asciiTheme="majorBidi" w:hAnsiTheme="majorBidi" w:cstheme="majorBidi"/>
          <w:b/>
          <w:bCs/>
          <w:sz w:val="32"/>
          <w:szCs w:val="32"/>
          <w:rtl/>
        </w:rPr>
        <w:t>مفهوم حل المشكلات</w:t>
      </w:r>
      <w:r w:rsidRPr="0008291E">
        <w:rPr>
          <w:rFonts w:asciiTheme="majorBidi" w:hAnsiTheme="majorBidi" w:cstheme="majorBidi"/>
          <w:b/>
          <w:bCs/>
          <w:sz w:val="32"/>
          <w:szCs w:val="32"/>
        </w:rPr>
        <w:t>:</w:t>
      </w:r>
    </w:p>
    <w:p w14:paraId="3DF74500"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يُعد مفهوم حل المشكلات</w:t>
      </w:r>
      <w:r w:rsidRPr="0008291E">
        <w:rPr>
          <w:rFonts w:asciiTheme="majorBidi" w:hAnsiTheme="majorBidi" w:cstheme="majorBidi"/>
          <w:sz w:val="28"/>
          <w:szCs w:val="28"/>
        </w:rPr>
        <w:t xml:space="preserve"> (Problem Solving) </w:t>
      </w:r>
      <w:r w:rsidRPr="0008291E">
        <w:rPr>
          <w:rFonts w:asciiTheme="majorBidi" w:hAnsiTheme="majorBidi" w:cstheme="majorBidi"/>
          <w:sz w:val="28"/>
          <w:szCs w:val="28"/>
          <w:rtl/>
        </w:rPr>
        <w:t>من المفاهيم المحورية في العديد من المجالات العلمية والعملية، وقد تعددت تعريفاته بتعدد وجهات نظر الباحثين وزوايا اهتمامهم، مما يعكس طبيعته المركبة ومتعددة الأبعاد</w:t>
      </w:r>
      <w:r w:rsidRPr="0008291E">
        <w:rPr>
          <w:rFonts w:asciiTheme="majorBidi" w:hAnsiTheme="majorBidi" w:cstheme="majorBidi"/>
          <w:sz w:val="28"/>
          <w:szCs w:val="28"/>
        </w:rPr>
        <w:t>.</w:t>
      </w:r>
    </w:p>
    <w:p w14:paraId="521EE4FE"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فمن الباحثين من يركز على الجانب الإجرائي المنظم، مثل نبيل السيد (2013، ص. 12) الذي عرّف حل المشكلات بأنه مجموعة من الخطوات التي تُمارَس بشكل منظم عند مواجهة موقف أو مشكلة، بهدف التوصل إلى حل وتنفيذه بطريقة مبتكرة. بينما يبرز حسن شحاتة (2003) البعد العقلي للعملية، واصفاً إياها بأنها عملية عقلية منظمة تتضمن نشاطًا استكشافيًا يسهم في تنظيم النشاط المعرفي للخبرات بهدف الوصول إلى حلول للمشكلات</w:t>
      </w:r>
      <w:r w:rsidRPr="0008291E">
        <w:rPr>
          <w:rFonts w:asciiTheme="majorBidi" w:hAnsiTheme="majorBidi" w:cstheme="majorBidi"/>
          <w:sz w:val="28"/>
          <w:szCs w:val="28"/>
        </w:rPr>
        <w:t>.</w:t>
      </w:r>
    </w:p>
    <w:p w14:paraId="0643D5DE"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 xml:space="preserve">ومن منظور مهاري، يُنظر إلى حل المشكلات أيضاً كقدرة؛ حيث تُعرَّف بأنها "القدرة على فهم المشكلة وأداء الإجراءات ذات الصلة بكفاءة (كمهارات متكررة)، كما تتضمن القدرة على </w:t>
      </w:r>
      <w:r w:rsidRPr="0008291E">
        <w:rPr>
          <w:rFonts w:asciiTheme="majorBidi" w:hAnsiTheme="majorBidi" w:cstheme="majorBidi"/>
          <w:sz w:val="28"/>
          <w:szCs w:val="28"/>
          <w:rtl/>
        </w:rPr>
        <w:lastRenderedPageBreak/>
        <w:t>التحسين، والمراقبة، وتصحيح الأداء (كمهارات غير متكررة)</w:t>
      </w:r>
      <w:r w:rsidRPr="0008291E">
        <w:rPr>
          <w:rFonts w:asciiTheme="majorBidi" w:hAnsiTheme="majorBidi" w:cstheme="majorBidi"/>
          <w:sz w:val="28"/>
          <w:szCs w:val="28"/>
        </w:rPr>
        <w:t xml:space="preserve">" (Van </w:t>
      </w:r>
      <w:proofErr w:type="spellStart"/>
      <w:r w:rsidRPr="0008291E">
        <w:rPr>
          <w:rFonts w:asciiTheme="majorBidi" w:hAnsiTheme="majorBidi" w:cstheme="majorBidi"/>
          <w:sz w:val="28"/>
          <w:szCs w:val="28"/>
        </w:rPr>
        <w:t>Merriënboer</w:t>
      </w:r>
      <w:proofErr w:type="spellEnd"/>
      <w:r w:rsidRPr="0008291E">
        <w:rPr>
          <w:rFonts w:asciiTheme="majorBidi" w:hAnsiTheme="majorBidi" w:cstheme="majorBidi"/>
          <w:sz w:val="28"/>
          <w:szCs w:val="28"/>
        </w:rPr>
        <w:t>, 2013</w:t>
      </w:r>
      <w:r w:rsidRPr="0008291E">
        <w:rPr>
          <w:rFonts w:asciiTheme="majorBidi" w:hAnsiTheme="majorBidi" w:cstheme="majorBidi"/>
          <w:sz w:val="28"/>
          <w:szCs w:val="28"/>
          <w:rtl/>
        </w:rPr>
        <w:t>، ص. 5</w:t>
      </w:r>
      <w:r w:rsidRPr="0008291E">
        <w:rPr>
          <w:rFonts w:asciiTheme="majorBidi" w:hAnsiTheme="majorBidi" w:cstheme="majorBidi"/>
          <w:sz w:val="28"/>
          <w:szCs w:val="28"/>
        </w:rPr>
        <w:t xml:space="preserve">). </w:t>
      </w:r>
      <w:r w:rsidRPr="0008291E">
        <w:rPr>
          <w:rFonts w:asciiTheme="majorBidi" w:hAnsiTheme="majorBidi" w:cstheme="majorBidi"/>
          <w:sz w:val="28"/>
          <w:szCs w:val="28"/>
          <w:rtl/>
        </w:rPr>
        <w:t xml:space="preserve">ويتوسع تعريف المفهوم ليشمل خطوات تطبيقية محددة في سياقات معينة، كما أشار </w:t>
      </w:r>
      <w:proofErr w:type="spellStart"/>
      <w:r w:rsidRPr="0008291E">
        <w:rPr>
          <w:rFonts w:asciiTheme="majorBidi" w:hAnsiTheme="majorBidi" w:cstheme="majorBidi"/>
          <w:sz w:val="28"/>
          <w:szCs w:val="28"/>
          <w:rtl/>
        </w:rPr>
        <w:t>تشافاش</w:t>
      </w:r>
      <w:proofErr w:type="spellEnd"/>
      <w:r w:rsidRPr="0008291E">
        <w:rPr>
          <w:rFonts w:asciiTheme="majorBidi" w:hAnsiTheme="majorBidi" w:cstheme="majorBidi"/>
          <w:sz w:val="28"/>
          <w:szCs w:val="28"/>
          <w:rtl/>
        </w:rPr>
        <w:t xml:space="preserve"> وآخرون</w:t>
      </w:r>
      <w:r w:rsidRPr="0008291E">
        <w:rPr>
          <w:rFonts w:asciiTheme="majorBidi" w:hAnsiTheme="majorBidi" w:cstheme="majorBidi"/>
          <w:sz w:val="28"/>
          <w:szCs w:val="28"/>
        </w:rPr>
        <w:t xml:space="preserve"> (</w:t>
      </w:r>
      <w:proofErr w:type="spellStart"/>
      <w:r w:rsidRPr="0008291E">
        <w:rPr>
          <w:rFonts w:asciiTheme="majorBidi" w:hAnsiTheme="majorBidi" w:cstheme="majorBidi"/>
          <w:sz w:val="28"/>
          <w:szCs w:val="28"/>
        </w:rPr>
        <w:t>Çavaş</w:t>
      </w:r>
      <w:proofErr w:type="spellEnd"/>
      <w:r w:rsidRPr="0008291E">
        <w:rPr>
          <w:rFonts w:asciiTheme="majorBidi" w:hAnsiTheme="majorBidi" w:cstheme="majorBidi"/>
          <w:sz w:val="28"/>
          <w:szCs w:val="28"/>
        </w:rPr>
        <w:t xml:space="preserve"> et al., 2023</w:t>
      </w:r>
      <w:r w:rsidRPr="0008291E">
        <w:rPr>
          <w:rFonts w:asciiTheme="majorBidi" w:hAnsiTheme="majorBidi" w:cstheme="majorBidi"/>
          <w:sz w:val="28"/>
          <w:szCs w:val="28"/>
          <w:rtl/>
        </w:rPr>
        <w:t>، ص. 12</w:t>
      </w:r>
      <w:r w:rsidRPr="0008291E">
        <w:rPr>
          <w:rFonts w:asciiTheme="majorBidi" w:hAnsiTheme="majorBidi" w:cstheme="majorBidi"/>
          <w:sz w:val="28"/>
          <w:szCs w:val="28"/>
        </w:rPr>
        <w:t>)</w:t>
      </w:r>
      <w:r w:rsidRPr="0008291E">
        <w:rPr>
          <w:rFonts w:asciiTheme="majorBidi" w:hAnsiTheme="majorBidi" w:cstheme="majorBidi"/>
          <w:sz w:val="28"/>
          <w:szCs w:val="28"/>
          <w:rtl/>
        </w:rPr>
        <w:t>، حيث وصفوها، في مجالات التعليم العلمي والتكنولوجي، بأنها عملية تشمل "وصف المشكلة، وفهم السبب الجذري، وتحديد وترتيب واختيار الحلول المحتملة، بالإضافة إلى تنفيذ هذه الحلول". وبشكل عام، يُعتبر حل المشكلات عملية تُستخدم فيها المعرفة والمهارات والفهم المكتسب سابقًا لمواجهة متطلبات موقف غير مألوف، بدءًا من لحظة المواجهة الأولى وصولاً إلى استجابة مُكتسبة. ويؤكد</w:t>
      </w:r>
      <w:r w:rsidRPr="0008291E">
        <w:rPr>
          <w:rFonts w:asciiTheme="majorBidi" w:hAnsiTheme="majorBidi" w:cstheme="majorBidi"/>
          <w:sz w:val="28"/>
          <w:szCs w:val="28"/>
        </w:rPr>
        <w:t xml:space="preserve"> (OECD, 2013</w:t>
      </w:r>
      <w:r w:rsidRPr="0008291E">
        <w:rPr>
          <w:rFonts w:asciiTheme="majorBidi" w:hAnsiTheme="majorBidi" w:cstheme="majorBidi"/>
          <w:sz w:val="28"/>
          <w:szCs w:val="28"/>
          <w:rtl/>
        </w:rPr>
        <w:t>، ص. 89</w:t>
      </w:r>
      <w:r w:rsidRPr="0008291E">
        <w:rPr>
          <w:rFonts w:asciiTheme="majorBidi" w:hAnsiTheme="majorBidi" w:cstheme="majorBidi"/>
          <w:sz w:val="28"/>
          <w:szCs w:val="28"/>
        </w:rPr>
        <w:t xml:space="preserve">) </w:t>
      </w:r>
      <w:r w:rsidRPr="0008291E">
        <w:rPr>
          <w:rFonts w:asciiTheme="majorBidi" w:hAnsiTheme="majorBidi" w:cstheme="majorBidi"/>
          <w:sz w:val="28"/>
          <w:szCs w:val="28"/>
          <w:rtl/>
        </w:rPr>
        <w:t>على أن العملية تبدأ بالاعتراف بوجود مشكلة وفهم طبيعتها، وأنها "تتطلب من القائم بحل المشكلة تحديد المشكلة المحددة، والتخطيط، وتنفيذ الحل، ومراقبة التقدم طوال النشاط</w:t>
      </w:r>
      <w:r w:rsidRPr="0008291E">
        <w:rPr>
          <w:rFonts w:asciiTheme="majorBidi" w:hAnsiTheme="majorBidi" w:cstheme="majorBidi"/>
          <w:sz w:val="28"/>
          <w:szCs w:val="28"/>
        </w:rPr>
        <w:t>".</w:t>
      </w:r>
    </w:p>
    <w:p w14:paraId="73706735"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b/>
          <w:bCs/>
          <w:sz w:val="28"/>
          <w:szCs w:val="28"/>
          <w:rtl/>
        </w:rPr>
        <w:t>وإلى جانب هذه التعريفات العامة، تكتسب مهارة حل المشكلات أبعاداً خاصة عند النظر إليها في سياقات جماعية كالتعلم التعاوني وحشد المصادر. ففي هذا الإطار، يعرف شارما وآخرون</w:t>
      </w:r>
      <w:r w:rsidRPr="0008291E">
        <w:rPr>
          <w:rFonts w:asciiTheme="majorBidi" w:hAnsiTheme="majorBidi" w:cstheme="majorBidi"/>
          <w:b/>
          <w:bCs/>
          <w:sz w:val="28"/>
          <w:szCs w:val="28"/>
        </w:rPr>
        <w:t xml:space="preserve"> (Sharma et al., 2022, p. 1) </w:t>
      </w:r>
      <w:r w:rsidRPr="0008291E">
        <w:rPr>
          <w:rFonts w:asciiTheme="majorBidi" w:hAnsiTheme="majorBidi" w:cstheme="majorBidi"/>
          <w:b/>
          <w:bCs/>
          <w:sz w:val="28"/>
          <w:szCs w:val="28"/>
          <w:rtl/>
        </w:rPr>
        <w:t>حل المشكلات التعاوني بأنه "خبرة مشتركة يقوم فيها ثنائي أو مجموعة منظمة بسلسلة من العمليات لتغيير الوضع القائم إلى الحالة المستهدفة المرغوبة بناءً على مبادئ ومقاربات معينة</w:t>
      </w:r>
      <w:r w:rsidRPr="0008291E">
        <w:rPr>
          <w:rFonts w:asciiTheme="majorBidi" w:hAnsiTheme="majorBidi" w:cstheme="majorBidi"/>
          <w:b/>
          <w:bCs/>
          <w:sz w:val="28"/>
          <w:szCs w:val="28"/>
        </w:rPr>
        <w:t>."</w:t>
      </w:r>
    </w:p>
    <w:p w14:paraId="3A3459FC"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b/>
          <w:bCs/>
          <w:sz w:val="28"/>
          <w:szCs w:val="28"/>
          <w:rtl/>
        </w:rPr>
        <w:t xml:space="preserve">ونظراً لأن هذه السياقات غالباً ما تتضمن التعامل مع مشكلات معقدة أو غير محددة البنية، فإن مهارة حل المشكلات هنا تشير أيضاً إلى القدرة على التعامل مع الغموض ونقص المعلومات، كما يعرفها </w:t>
      </w:r>
      <w:proofErr w:type="spellStart"/>
      <w:r w:rsidRPr="0008291E">
        <w:rPr>
          <w:rFonts w:asciiTheme="majorBidi" w:hAnsiTheme="majorBidi" w:cstheme="majorBidi"/>
          <w:b/>
          <w:bCs/>
          <w:sz w:val="28"/>
          <w:szCs w:val="28"/>
          <w:rtl/>
        </w:rPr>
        <w:t>يوناسن</w:t>
      </w:r>
      <w:proofErr w:type="spellEnd"/>
      <w:r w:rsidRPr="0008291E">
        <w:rPr>
          <w:rFonts w:asciiTheme="majorBidi" w:hAnsiTheme="majorBidi" w:cstheme="majorBidi"/>
          <w:b/>
          <w:bCs/>
          <w:sz w:val="28"/>
          <w:szCs w:val="28"/>
        </w:rPr>
        <w:t xml:space="preserve"> (Jonassen, 2006, p. 91) </w:t>
      </w:r>
      <w:r w:rsidRPr="0008291E">
        <w:rPr>
          <w:rFonts w:asciiTheme="majorBidi" w:hAnsiTheme="majorBidi" w:cstheme="majorBidi"/>
          <w:b/>
          <w:bCs/>
          <w:sz w:val="28"/>
          <w:szCs w:val="28"/>
          <w:rtl/>
        </w:rPr>
        <w:t>بأنها "قدرة الشخص على استخدام العمليات المعرفية لحل المشكلات التي لا يوجد لها حل واضح أو مباشر</w:t>
      </w:r>
      <w:r w:rsidRPr="0008291E">
        <w:rPr>
          <w:rFonts w:asciiTheme="majorBidi" w:hAnsiTheme="majorBidi" w:cstheme="majorBidi"/>
          <w:b/>
          <w:bCs/>
          <w:sz w:val="28"/>
          <w:szCs w:val="28"/>
        </w:rPr>
        <w:t>".</w:t>
      </w:r>
    </w:p>
    <w:p w14:paraId="056CEA99"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 xml:space="preserve">يُلاحظ من هذه التعريفات المتنوعة أن حل المشكلات يُنظر إليه كعملية مركبة وهادفة تجمع بين الإجراءات المنظمة، والنشاط العقلي، والقدرات المهارية، </w:t>
      </w:r>
      <w:r w:rsidRPr="0008291E">
        <w:rPr>
          <w:rFonts w:asciiTheme="majorBidi" w:hAnsiTheme="majorBidi" w:cstheme="majorBidi"/>
          <w:b/>
          <w:bCs/>
          <w:sz w:val="28"/>
          <w:szCs w:val="28"/>
          <w:rtl/>
        </w:rPr>
        <w:t>وقد تتضمن أبعاداً تعاونية وتتطلب القدرة على التعامل مع المشكلات المعقدة وغير محددة البنية</w:t>
      </w:r>
      <w:r w:rsidRPr="0008291E">
        <w:rPr>
          <w:rFonts w:asciiTheme="majorBidi" w:hAnsiTheme="majorBidi" w:cstheme="majorBidi"/>
          <w:sz w:val="28"/>
          <w:szCs w:val="28"/>
        </w:rPr>
        <w:t xml:space="preserve">. </w:t>
      </w:r>
      <w:r w:rsidRPr="0008291E">
        <w:rPr>
          <w:rFonts w:asciiTheme="majorBidi" w:hAnsiTheme="majorBidi" w:cstheme="majorBidi"/>
          <w:sz w:val="28"/>
          <w:szCs w:val="28"/>
          <w:rtl/>
        </w:rPr>
        <w:t>وتتطلب بشكل عام الفهم العميق للموقف، والتخطيط الدقيق، والتنفيذ الفعال، والمتابعة المستمرة</w:t>
      </w:r>
      <w:r w:rsidRPr="0008291E">
        <w:rPr>
          <w:rFonts w:asciiTheme="majorBidi" w:hAnsiTheme="majorBidi" w:cstheme="majorBidi"/>
          <w:sz w:val="28"/>
          <w:szCs w:val="28"/>
        </w:rPr>
        <w:t>.</w:t>
      </w:r>
    </w:p>
    <w:p w14:paraId="3E709F16"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ويرتبط مفهوم حل المشكلات ارتباطاً وثيقاً بفهم طبيعة "المشكلة" ذاتها، والتي تُعرَّف ببساطة بأنها "حالة تكون فيها الطرق أو الإجراءات التي تؤدي إلى الحل غير متاحة بسهولة</w:t>
      </w:r>
      <w:r w:rsidRPr="0008291E">
        <w:rPr>
          <w:rFonts w:asciiTheme="majorBidi" w:hAnsiTheme="majorBidi" w:cstheme="majorBidi"/>
          <w:sz w:val="28"/>
          <w:szCs w:val="28"/>
        </w:rPr>
        <w:t>" (Lawson, 2003</w:t>
      </w:r>
      <w:r w:rsidRPr="0008291E">
        <w:rPr>
          <w:rFonts w:asciiTheme="majorBidi" w:hAnsiTheme="majorBidi" w:cstheme="majorBidi"/>
          <w:sz w:val="28"/>
          <w:szCs w:val="28"/>
          <w:rtl/>
        </w:rPr>
        <w:t>، ص. 12</w:t>
      </w:r>
      <w:r w:rsidRPr="0008291E">
        <w:rPr>
          <w:rFonts w:asciiTheme="majorBidi" w:hAnsiTheme="majorBidi" w:cstheme="majorBidi"/>
          <w:sz w:val="28"/>
          <w:szCs w:val="28"/>
        </w:rPr>
        <w:t xml:space="preserve">). </w:t>
      </w:r>
      <w:r w:rsidRPr="0008291E">
        <w:rPr>
          <w:rFonts w:asciiTheme="majorBidi" w:hAnsiTheme="majorBidi" w:cstheme="majorBidi"/>
          <w:sz w:val="28"/>
          <w:szCs w:val="28"/>
          <w:rtl/>
        </w:rPr>
        <w:t>ولتحديد كيفية التعامل معها، تُصنَّف المشكلات عادةً إلى نوعين رئيسيين: مشكلات ذات هيكل جيد</w:t>
      </w:r>
      <w:r w:rsidRPr="0008291E">
        <w:rPr>
          <w:rFonts w:asciiTheme="majorBidi" w:hAnsiTheme="majorBidi" w:cstheme="majorBidi"/>
          <w:sz w:val="28"/>
          <w:szCs w:val="28"/>
        </w:rPr>
        <w:t xml:space="preserve"> (Well-structured)</w:t>
      </w:r>
      <w:r w:rsidRPr="0008291E">
        <w:rPr>
          <w:rFonts w:asciiTheme="majorBidi" w:hAnsiTheme="majorBidi" w:cstheme="majorBidi"/>
          <w:sz w:val="28"/>
          <w:szCs w:val="28"/>
          <w:rtl/>
        </w:rPr>
        <w:t>، وهي التي "لها إجابة واحدة صحيحة"، ومشكلات ذات هيكل سيئ</w:t>
      </w:r>
      <w:r w:rsidRPr="0008291E">
        <w:rPr>
          <w:rFonts w:asciiTheme="majorBidi" w:hAnsiTheme="majorBidi" w:cstheme="majorBidi"/>
          <w:sz w:val="28"/>
          <w:szCs w:val="28"/>
        </w:rPr>
        <w:t xml:space="preserve"> (Ill-structured)</w:t>
      </w:r>
      <w:r w:rsidRPr="0008291E">
        <w:rPr>
          <w:rFonts w:asciiTheme="majorBidi" w:hAnsiTheme="majorBidi" w:cstheme="majorBidi"/>
          <w:sz w:val="28"/>
          <w:szCs w:val="28"/>
          <w:rtl/>
        </w:rPr>
        <w:t>، وهي التي "لا تحتوي على حل واحد أو كل المعلومات اللازمة</w:t>
      </w:r>
      <w:r w:rsidRPr="0008291E">
        <w:rPr>
          <w:rFonts w:asciiTheme="majorBidi" w:hAnsiTheme="majorBidi" w:cstheme="majorBidi"/>
          <w:sz w:val="28"/>
          <w:szCs w:val="28"/>
        </w:rPr>
        <w:t xml:space="preserve">" (Chin &amp; Chia, 2006; Lawson, 2003). </w:t>
      </w:r>
      <w:r w:rsidRPr="0008291E">
        <w:rPr>
          <w:rFonts w:asciiTheme="majorBidi" w:hAnsiTheme="majorBidi" w:cstheme="majorBidi"/>
          <w:sz w:val="28"/>
          <w:szCs w:val="28"/>
          <w:rtl/>
        </w:rPr>
        <w:t>وبالتالي، فإن إدراك نوع المشكلة وخصائصها يُعد خطوة أولى أساسية في الشروع بعملية الحل</w:t>
      </w:r>
      <w:r w:rsidRPr="0008291E">
        <w:rPr>
          <w:rFonts w:asciiTheme="majorBidi" w:hAnsiTheme="majorBidi" w:cstheme="majorBidi"/>
          <w:sz w:val="28"/>
          <w:szCs w:val="28"/>
        </w:rPr>
        <w:t>.</w:t>
      </w:r>
    </w:p>
    <w:p w14:paraId="0193EEFB" w14:textId="77777777" w:rsidR="00CD469A" w:rsidRPr="0008291E" w:rsidRDefault="00CD469A" w:rsidP="00CD469A">
      <w:pPr>
        <w:bidi/>
        <w:ind w:left="720" w:firstLine="720"/>
        <w:rPr>
          <w:rFonts w:asciiTheme="majorBidi" w:hAnsiTheme="majorBidi" w:cstheme="majorBidi"/>
          <w:sz w:val="28"/>
          <w:szCs w:val="28"/>
          <w:rtl/>
        </w:rPr>
      </w:pPr>
    </w:p>
    <w:p w14:paraId="2343BA73" w14:textId="4225AF85" w:rsidR="00CD469A" w:rsidRPr="0008291E" w:rsidRDefault="00CD469A" w:rsidP="00842E20">
      <w:pPr>
        <w:bidi/>
        <w:ind w:firstLine="720"/>
        <w:rPr>
          <w:rFonts w:asciiTheme="majorBidi" w:hAnsiTheme="majorBidi" w:cstheme="majorBidi"/>
          <w:b/>
          <w:bCs/>
          <w:sz w:val="32"/>
          <w:szCs w:val="32"/>
          <w:rtl/>
        </w:rPr>
      </w:pPr>
      <w:r w:rsidRPr="0008291E">
        <w:rPr>
          <w:rFonts w:asciiTheme="majorBidi" w:hAnsiTheme="majorBidi" w:cstheme="majorBidi"/>
          <w:b/>
          <w:bCs/>
          <w:sz w:val="32"/>
          <w:szCs w:val="32"/>
          <w:rtl/>
        </w:rPr>
        <w:t xml:space="preserve">  </w:t>
      </w:r>
      <w:bookmarkStart w:id="0" w:name="_Toc188039716"/>
      <w:r w:rsidRPr="0008291E">
        <w:rPr>
          <w:rFonts w:asciiTheme="majorBidi" w:hAnsiTheme="majorBidi" w:cstheme="majorBidi"/>
          <w:b/>
          <w:bCs/>
          <w:sz w:val="32"/>
          <w:szCs w:val="32"/>
          <w:rtl/>
        </w:rPr>
        <w:t>أهمية حل المشكلات لطلاب المرحلة الثانوية</w:t>
      </w:r>
      <w:r w:rsidR="00842E20" w:rsidRPr="0008291E">
        <w:rPr>
          <w:rFonts w:asciiTheme="majorBidi" w:hAnsiTheme="majorBidi" w:cstheme="majorBidi"/>
          <w:b/>
          <w:bCs/>
          <w:sz w:val="32"/>
          <w:szCs w:val="32"/>
          <w:rtl/>
        </w:rPr>
        <w:t>:</w:t>
      </w:r>
      <w:r w:rsidRPr="0008291E">
        <w:rPr>
          <w:rFonts w:asciiTheme="majorBidi" w:hAnsiTheme="majorBidi" w:cstheme="majorBidi"/>
          <w:b/>
          <w:bCs/>
          <w:sz w:val="32"/>
          <w:szCs w:val="32"/>
          <w:rtl/>
        </w:rPr>
        <w:t xml:space="preserve"> </w:t>
      </w:r>
      <w:bookmarkEnd w:id="0"/>
    </w:p>
    <w:p w14:paraId="78548825"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lastRenderedPageBreak/>
        <w:t>تؤكد الاتجاهات التربوية المعاصرة على الأهمية القصوى لتنمية قدرات الطلبة في مواجهة المشكلات، حيث أصبحت هذه المهارة ضرورة ملحة في ظل التحولات المتسارعة التي يشهدها العصر الحالي. وتكمن أهمية هذه المهارة في تمكين الطلبة من اتخاذ قرارات مدروسة في مختلف مناحي حياتهم، إذ تعد القدرة على حل المشكلات ركيزة أساسية في المسيرة التعليمية للطالب (أبو عواد، 2015، ص. 29)</w:t>
      </w:r>
      <w:r w:rsidRPr="0008291E">
        <w:rPr>
          <w:rFonts w:asciiTheme="majorBidi" w:hAnsiTheme="majorBidi" w:cstheme="majorBidi"/>
          <w:sz w:val="28"/>
          <w:szCs w:val="28"/>
        </w:rPr>
        <w:t xml:space="preserve">. </w:t>
      </w:r>
      <w:r w:rsidRPr="0008291E">
        <w:rPr>
          <w:rFonts w:asciiTheme="majorBidi" w:hAnsiTheme="majorBidi" w:cstheme="majorBidi"/>
          <w:b/>
          <w:bCs/>
          <w:sz w:val="28"/>
          <w:szCs w:val="28"/>
          <w:rtl/>
        </w:rPr>
        <w:t>وتكتسب هذه المهارات أهمية مضاعفة في المرحلة الثانوية، حيث يبدأ الطلاب في تشكيل رؤيتهم للمستقبل، والاستعداد لمراحل تعليمية وعملية لاحقة تتطلب قدرة عالية على التكيف ومواجهة التحديات</w:t>
      </w:r>
      <w:r w:rsidRPr="0008291E">
        <w:rPr>
          <w:rFonts w:asciiTheme="majorBidi" w:hAnsiTheme="majorBidi" w:cstheme="majorBidi"/>
          <w:b/>
          <w:bCs/>
          <w:sz w:val="28"/>
          <w:szCs w:val="28"/>
        </w:rPr>
        <w:t>.</w:t>
      </w:r>
    </w:p>
    <w:p w14:paraId="5DF7EBE3"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وتشير الدراسات التربوية إلى أن الكفاءة التعليمية ترتفع بشكل ملحوظ عند دمج استراتيجيات حل المشكلات في العملية التدريسية، خاصة عندما ترتبط هذه المشكلات بواقع الطلبة وحياتهم اليومية. ويؤكد</w:t>
      </w:r>
      <w:r w:rsidRPr="0008291E">
        <w:rPr>
          <w:rFonts w:asciiTheme="majorBidi" w:hAnsiTheme="majorBidi" w:cstheme="majorBidi"/>
          <w:sz w:val="28"/>
          <w:szCs w:val="28"/>
        </w:rPr>
        <w:t xml:space="preserve"> Morrison-Love (2017) </w:t>
      </w:r>
      <w:r w:rsidRPr="0008291E">
        <w:rPr>
          <w:rFonts w:asciiTheme="majorBidi" w:hAnsiTheme="majorBidi" w:cstheme="majorBidi"/>
          <w:sz w:val="28"/>
          <w:szCs w:val="28"/>
          <w:rtl/>
        </w:rPr>
        <w:t>أن هذا النهج يؤدي إلى تطوير "التفكير التحويلي" الذي يمكن الطلاب من تقييم وتغيير تصوراتهم وسلوكياتهم في مواجهة المواقف المختلفة. كما يسهم تطبيق منهجية حل المشكلات في تطوير القدرات التحليلية للطلبة وتعزيز مهاراتهم في تطبيق هذه القدرات في سياقات متنوعة (أبو عواد، 2015، ص. 34)</w:t>
      </w:r>
      <w:r w:rsidRPr="0008291E">
        <w:rPr>
          <w:rFonts w:asciiTheme="majorBidi" w:hAnsiTheme="majorBidi" w:cstheme="majorBidi"/>
          <w:sz w:val="28"/>
          <w:szCs w:val="28"/>
        </w:rPr>
        <w:t>.</w:t>
      </w:r>
    </w:p>
    <w:p w14:paraId="0B21500A"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 xml:space="preserve">ولا تقتصر أهمية حل المشكلات على تطوير القدرات التحليلية الفردية، بل تمتد لتشمل </w:t>
      </w:r>
      <w:r w:rsidRPr="0008291E">
        <w:rPr>
          <w:rFonts w:asciiTheme="majorBidi" w:hAnsiTheme="majorBidi" w:cstheme="majorBidi"/>
          <w:b/>
          <w:bCs/>
          <w:sz w:val="28"/>
          <w:szCs w:val="28"/>
          <w:rtl/>
        </w:rPr>
        <w:t>تطبيق المعرفة في سياقات عملية هادفة</w:t>
      </w:r>
      <w:r w:rsidRPr="0008291E">
        <w:rPr>
          <w:rFonts w:asciiTheme="majorBidi" w:hAnsiTheme="majorBidi" w:cstheme="majorBidi"/>
          <w:sz w:val="28"/>
          <w:szCs w:val="28"/>
          <w:rtl/>
        </w:rPr>
        <w:t>، كما يشير</w:t>
      </w:r>
      <w:r w:rsidRPr="0008291E">
        <w:rPr>
          <w:rFonts w:asciiTheme="majorBidi" w:hAnsiTheme="majorBidi" w:cstheme="majorBidi"/>
          <w:sz w:val="28"/>
          <w:szCs w:val="28"/>
        </w:rPr>
        <w:t xml:space="preserve"> Funa </w:t>
      </w:r>
      <w:r w:rsidRPr="0008291E">
        <w:rPr>
          <w:rFonts w:asciiTheme="majorBidi" w:hAnsiTheme="majorBidi" w:cstheme="majorBidi"/>
          <w:sz w:val="28"/>
          <w:szCs w:val="28"/>
          <w:rtl/>
        </w:rPr>
        <w:t xml:space="preserve">وآخرون (2022، ص. 567) بخصوص ربطها بالسلوكيات الإيجابية نحو التنمية المستدامة. ويتطلب تحقيق هذا النوع من التعلم العميق تبني </w:t>
      </w:r>
      <w:r w:rsidRPr="0008291E">
        <w:rPr>
          <w:rFonts w:asciiTheme="majorBidi" w:hAnsiTheme="majorBidi" w:cstheme="majorBidi"/>
          <w:b/>
          <w:bCs/>
          <w:sz w:val="28"/>
          <w:szCs w:val="28"/>
          <w:rtl/>
        </w:rPr>
        <w:t>مقاربات تتمحور حول المتعلم</w:t>
      </w:r>
      <w:r w:rsidRPr="0008291E">
        <w:rPr>
          <w:rFonts w:asciiTheme="majorBidi" w:hAnsiTheme="majorBidi" w:cstheme="majorBidi"/>
          <w:sz w:val="28"/>
          <w:szCs w:val="28"/>
          <w:rtl/>
        </w:rPr>
        <w:t>، وهو ما يؤكده</w:t>
      </w:r>
      <w:r w:rsidRPr="0008291E">
        <w:rPr>
          <w:rFonts w:asciiTheme="majorBidi" w:hAnsiTheme="majorBidi" w:cstheme="majorBidi"/>
          <w:sz w:val="28"/>
          <w:szCs w:val="28"/>
        </w:rPr>
        <w:t xml:space="preserve"> Rieckmann </w:t>
      </w:r>
      <w:r w:rsidRPr="0008291E">
        <w:rPr>
          <w:rFonts w:asciiTheme="majorBidi" w:hAnsiTheme="majorBidi" w:cstheme="majorBidi"/>
          <w:sz w:val="28"/>
          <w:szCs w:val="28"/>
          <w:rtl/>
        </w:rPr>
        <w:t xml:space="preserve">(2018، ص. 40) مشيراً لأهمية تشجيع التفكير المستقل والتعبير الحر عن الأفكار. علاوة على ذلك، فإن استراتيجيات التعلم القائمة على حل المشكلات، بطبيعتها، تعزز </w:t>
      </w:r>
      <w:r w:rsidRPr="0008291E">
        <w:rPr>
          <w:rFonts w:asciiTheme="majorBidi" w:hAnsiTheme="majorBidi" w:cstheme="majorBidi"/>
          <w:b/>
          <w:bCs/>
          <w:sz w:val="28"/>
          <w:szCs w:val="28"/>
          <w:rtl/>
        </w:rPr>
        <w:t>مهارات حيوية أخرى كالتعاون والتواصل</w:t>
      </w:r>
      <w:r w:rsidRPr="0008291E">
        <w:rPr>
          <w:rFonts w:asciiTheme="majorBidi" w:hAnsiTheme="majorBidi" w:cstheme="majorBidi"/>
          <w:sz w:val="28"/>
          <w:szCs w:val="28"/>
          <w:rtl/>
        </w:rPr>
        <w:t xml:space="preserve"> من خلال العمل الجماعي وتبادل الأفكار، كما يوضح</w:t>
      </w:r>
      <w:r w:rsidRPr="0008291E">
        <w:rPr>
          <w:rFonts w:asciiTheme="majorBidi" w:hAnsiTheme="majorBidi" w:cstheme="majorBidi"/>
          <w:sz w:val="28"/>
          <w:szCs w:val="28"/>
        </w:rPr>
        <w:t xml:space="preserve"> Hung (2019</w:t>
      </w:r>
      <w:r w:rsidRPr="0008291E">
        <w:rPr>
          <w:rFonts w:asciiTheme="majorBidi" w:hAnsiTheme="majorBidi" w:cstheme="majorBidi"/>
          <w:sz w:val="28"/>
          <w:szCs w:val="28"/>
          <w:rtl/>
        </w:rPr>
        <w:t>، ص. 250</w:t>
      </w:r>
      <w:r w:rsidRPr="0008291E">
        <w:rPr>
          <w:rFonts w:asciiTheme="majorBidi" w:hAnsiTheme="majorBidi" w:cstheme="majorBidi"/>
          <w:sz w:val="28"/>
          <w:szCs w:val="28"/>
        </w:rPr>
        <w:t>).</w:t>
      </w:r>
    </w:p>
    <w:p w14:paraId="1125ADC9" w14:textId="76C1AD22" w:rsidR="00CD469A" w:rsidRPr="0008291E" w:rsidRDefault="00CD469A" w:rsidP="00851CF6">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وبناءً على الأهمية التي تم التأكيد عليها لمهارة حل المشكلات، ونظرًا للطبيعة المتأصلة لمادة الفلسفة، التي ترتكز بشكل أساسي على تنمية التفكير النقدي والمستقل، والتحليل المنطقي للمواقف، وتقييم الحجج والبدائل، وبناء الاستدلالات - وهي ذات العمليات المعرفية التي تشكل جوهر القدرة على حل المشكلات واتخاذ القرارات المدروسة - فإن هذا الارتباط الوثيق هو ما دفع الباحث إلى الاستعانة بمقرر الفلسفة كإطار لتنمية هذه المهارات في بحثه الحالي</w:t>
      </w:r>
      <w:r w:rsidRPr="0008291E">
        <w:rPr>
          <w:rFonts w:asciiTheme="majorBidi" w:hAnsiTheme="majorBidi" w:cstheme="majorBidi"/>
          <w:sz w:val="28"/>
          <w:szCs w:val="28"/>
        </w:rPr>
        <w:t>.</w:t>
      </w:r>
    </w:p>
    <w:p w14:paraId="6D88B0D0" w14:textId="77777777" w:rsidR="00CD469A" w:rsidRPr="0008291E" w:rsidRDefault="00CD469A" w:rsidP="007D1238">
      <w:pPr>
        <w:bidi/>
        <w:ind w:firstLine="720"/>
        <w:rPr>
          <w:rFonts w:asciiTheme="majorBidi" w:hAnsiTheme="majorBidi" w:cstheme="majorBidi"/>
          <w:b/>
          <w:bCs/>
          <w:sz w:val="32"/>
          <w:szCs w:val="32"/>
          <w:rtl/>
        </w:rPr>
      </w:pPr>
      <w:r w:rsidRPr="0008291E">
        <w:rPr>
          <w:rFonts w:asciiTheme="majorBidi" w:hAnsiTheme="majorBidi" w:cstheme="majorBidi"/>
          <w:b/>
          <w:bCs/>
          <w:sz w:val="32"/>
          <w:szCs w:val="32"/>
          <w:rtl/>
        </w:rPr>
        <w:t>تصنيف مهارات حل المشكلات:</w:t>
      </w:r>
    </w:p>
    <w:p w14:paraId="2FF40FA1"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تُعد مهارات حل المشكلات من الموضوعات التي حظيت باهتمام واسع من قِبل الباحثين، مما أدى إلى ظهور عدة تصنيفات لهذه المهارات. تختلف هذه التصنيفات في تركيزها وعدد المراحل أو المهارات التي تتضمنها، ولكنها تشترك في محاولة هيكلة العملية المعقدة لمواجهة المشكلات وإيجاد الحلول</w:t>
      </w:r>
      <w:r w:rsidRPr="0008291E">
        <w:rPr>
          <w:rFonts w:asciiTheme="majorBidi" w:hAnsiTheme="majorBidi" w:cstheme="majorBidi"/>
          <w:sz w:val="28"/>
          <w:szCs w:val="28"/>
        </w:rPr>
        <w:t>.</w:t>
      </w:r>
    </w:p>
    <w:p w14:paraId="410854E7"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lastRenderedPageBreak/>
        <w:t xml:space="preserve">يقدم </w:t>
      </w:r>
      <w:proofErr w:type="spellStart"/>
      <w:r w:rsidRPr="0008291E">
        <w:rPr>
          <w:rFonts w:asciiTheme="majorBidi" w:hAnsiTheme="majorBidi" w:cstheme="majorBidi"/>
          <w:sz w:val="28"/>
          <w:szCs w:val="28"/>
          <w:rtl/>
        </w:rPr>
        <w:t>كلينجنر</w:t>
      </w:r>
      <w:proofErr w:type="spellEnd"/>
      <w:r w:rsidRPr="0008291E">
        <w:rPr>
          <w:rFonts w:asciiTheme="majorBidi" w:hAnsiTheme="majorBidi" w:cstheme="majorBidi"/>
          <w:sz w:val="28"/>
          <w:szCs w:val="28"/>
          <w:rtl/>
        </w:rPr>
        <w:t xml:space="preserve"> وآخرون</w:t>
      </w:r>
      <w:r w:rsidRPr="0008291E">
        <w:rPr>
          <w:rFonts w:asciiTheme="majorBidi" w:hAnsiTheme="majorBidi" w:cstheme="majorBidi"/>
          <w:sz w:val="28"/>
          <w:szCs w:val="28"/>
        </w:rPr>
        <w:t xml:space="preserve"> (Klingner et al., 2007, pp. 101-125) </w:t>
      </w:r>
      <w:r w:rsidRPr="0008291E">
        <w:rPr>
          <w:rFonts w:asciiTheme="majorBidi" w:hAnsiTheme="majorBidi" w:cstheme="majorBidi"/>
          <w:sz w:val="28"/>
          <w:szCs w:val="28"/>
          <w:rtl/>
        </w:rPr>
        <w:t>أحد هذه التصنيفات، والذي يشتمل على مهارات أساسية تبدأ بتحديد المشكلة، تليها صياغة الفروض واختبار صحتها، وصولًا إلى مرحلتي التفسير والتعميم</w:t>
      </w:r>
      <w:r w:rsidRPr="0008291E">
        <w:rPr>
          <w:rFonts w:asciiTheme="majorBidi" w:hAnsiTheme="majorBidi" w:cstheme="majorBidi"/>
          <w:sz w:val="28"/>
          <w:szCs w:val="28"/>
        </w:rPr>
        <w:t>.</w:t>
      </w:r>
    </w:p>
    <w:p w14:paraId="77ADEB58"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بالإضافة إلى ذلك، يوضح قطامي (2007، ص. 453) أن مهارات حل المشكلات تشمل تحديد المشكلة وتمثيلها وإيضاحها، ثم اختيار خطة للحل وتوضيحها، وتنتهي بالاستنتاج والتحقق والتقويم</w:t>
      </w:r>
      <w:r w:rsidRPr="0008291E">
        <w:rPr>
          <w:rFonts w:asciiTheme="majorBidi" w:hAnsiTheme="majorBidi" w:cstheme="majorBidi"/>
          <w:sz w:val="28"/>
          <w:szCs w:val="28"/>
        </w:rPr>
        <w:t>.</w:t>
      </w:r>
    </w:p>
    <w:p w14:paraId="662A8F78"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من منظور آخر، يركز تصنيف روسمان</w:t>
      </w:r>
      <w:r w:rsidRPr="0008291E">
        <w:rPr>
          <w:rFonts w:asciiTheme="majorBidi" w:hAnsiTheme="majorBidi" w:cstheme="majorBidi"/>
          <w:sz w:val="28"/>
          <w:szCs w:val="28"/>
        </w:rPr>
        <w:t xml:space="preserve"> (Rosman)</w:t>
      </w:r>
      <w:r w:rsidRPr="0008291E">
        <w:rPr>
          <w:rFonts w:asciiTheme="majorBidi" w:hAnsiTheme="majorBidi" w:cstheme="majorBidi"/>
          <w:sz w:val="28"/>
          <w:szCs w:val="28"/>
          <w:rtl/>
        </w:rPr>
        <w:t>، كما أشار أبو عواد (2015، ص. 42)، على خطوات تبدأ بالإحساس بوجود المشكلة وتحديدها، ثم جمع المعلومات والتفكير في استخدامها، تليها تحديد الحلول والبدائل واختبارها ونقدها، وأخيرًا صياغة الفكرة الجديدة وتنفيذها</w:t>
      </w:r>
      <w:r w:rsidRPr="0008291E">
        <w:rPr>
          <w:rFonts w:asciiTheme="majorBidi" w:hAnsiTheme="majorBidi" w:cstheme="majorBidi"/>
          <w:sz w:val="28"/>
          <w:szCs w:val="28"/>
        </w:rPr>
        <w:t>.</w:t>
      </w:r>
    </w:p>
    <w:p w14:paraId="09CEDC38"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 xml:space="preserve">أما </w:t>
      </w:r>
      <w:proofErr w:type="spellStart"/>
      <w:r w:rsidRPr="0008291E">
        <w:rPr>
          <w:rFonts w:asciiTheme="majorBidi" w:hAnsiTheme="majorBidi" w:cstheme="majorBidi"/>
          <w:sz w:val="28"/>
          <w:szCs w:val="28"/>
          <w:rtl/>
        </w:rPr>
        <w:t>بيلجين</w:t>
      </w:r>
      <w:proofErr w:type="spellEnd"/>
      <w:r w:rsidRPr="0008291E">
        <w:rPr>
          <w:rFonts w:asciiTheme="majorBidi" w:hAnsiTheme="majorBidi" w:cstheme="majorBidi"/>
          <w:sz w:val="28"/>
          <w:szCs w:val="28"/>
        </w:rPr>
        <w:t xml:space="preserve"> (Bilgin, 2006, pp. 101-106)</w:t>
      </w:r>
      <w:r w:rsidRPr="0008291E">
        <w:rPr>
          <w:rFonts w:asciiTheme="majorBidi" w:hAnsiTheme="majorBidi" w:cstheme="majorBidi"/>
          <w:sz w:val="28"/>
          <w:szCs w:val="28"/>
          <w:rtl/>
        </w:rPr>
        <w:t>، فيقسم المهارات إلى أربع مراحل رئيسية هي: فهم المشكلة، وضع خطة الحل، تنفيذ الخطة، والتحقق من صحة الحل أو مراجعته</w:t>
      </w:r>
      <w:r w:rsidRPr="0008291E">
        <w:rPr>
          <w:rFonts w:asciiTheme="majorBidi" w:hAnsiTheme="majorBidi" w:cstheme="majorBidi"/>
          <w:sz w:val="28"/>
          <w:szCs w:val="28"/>
        </w:rPr>
        <w:t>.</w:t>
      </w:r>
    </w:p>
    <w:p w14:paraId="5FE2F9DA"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 xml:space="preserve">وعلى نفس المنوال، يقدم نموذج </w:t>
      </w:r>
      <w:proofErr w:type="spellStart"/>
      <w:r w:rsidRPr="0008291E">
        <w:rPr>
          <w:rFonts w:asciiTheme="majorBidi" w:hAnsiTheme="majorBidi" w:cstheme="majorBidi"/>
          <w:sz w:val="28"/>
          <w:szCs w:val="28"/>
          <w:rtl/>
        </w:rPr>
        <w:t>برانسفورد</w:t>
      </w:r>
      <w:proofErr w:type="spellEnd"/>
      <w:r w:rsidRPr="0008291E">
        <w:rPr>
          <w:rFonts w:asciiTheme="majorBidi" w:hAnsiTheme="majorBidi" w:cstheme="majorBidi"/>
          <w:sz w:val="28"/>
          <w:szCs w:val="28"/>
          <w:rtl/>
        </w:rPr>
        <w:t xml:space="preserve"> وشتاين</w:t>
      </w:r>
      <w:r w:rsidRPr="0008291E">
        <w:rPr>
          <w:rFonts w:asciiTheme="majorBidi" w:hAnsiTheme="majorBidi" w:cstheme="majorBidi"/>
          <w:sz w:val="28"/>
          <w:szCs w:val="28"/>
        </w:rPr>
        <w:t xml:space="preserve"> (Bransford &amp; Stein) </w:t>
      </w:r>
      <w:r w:rsidRPr="0008291E">
        <w:rPr>
          <w:rFonts w:asciiTheme="majorBidi" w:hAnsiTheme="majorBidi" w:cstheme="majorBidi"/>
          <w:sz w:val="28"/>
          <w:szCs w:val="28"/>
          <w:rtl/>
        </w:rPr>
        <w:t>خمس مهارات أساسية تبدأ بتحديد المشكلة وتعريفها، ثم استكشاف استراتيجيات الحل وتطبيق الأفكار للوصول إليه، وأخيرًا البحث عن النتائج وتقييمها</w:t>
      </w:r>
      <w:r w:rsidRPr="0008291E">
        <w:rPr>
          <w:rFonts w:asciiTheme="majorBidi" w:hAnsiTheme="majorBidi" w:cstheme="majorBidi"/>
          <w:sz w:val="28"/>
          <w:szCs w:val="28"/>
        </w:rPr>
        <w:t xml:space="preserve"> (Keller, 1999, pp. 482-515).</w:t>
      </w:r>
    </w:p>
    <w:p w14:paraId="2198122A"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كذلك، يتضمن نموذج جون ديوي</w:t>
      </w:r>
      <w:r w:rsidRPr="0008291E">
        <w:rPr>
          <w:rFonts w:asciiTheme="majorBidi" w:hAnsiTheme="majorBidi" w:cstheme="majorBidi"/>
          <w:sz w:val="28"/>
          <w:szCs w:val="28"/>
        </w:rPr>
        <w:t xml:space="preserve"> (John Dewey) </w:t>
      </w:r>
      <w:r w:rsidRPr="0008291E">
        <w:rPr>
          <w:rFonts w:asciiTheme="majorBidi" w:hAnsiTheme="majorBidi" w:cstheme="majorBidi"/>
          <w:sz w:val="28"/>
          <w:szCs w:val="28"/>
          <w:rtl/>
        </w:rPr>
        <w:t>الشهير خمس خطوات تبدأ بالشعور بالمشكلة وتحديدها، ثم وضع الفروض أو الحلول المقترحة واختبار صحتها، وصولًا إلى الحل النهائي (السيد، 2013)</w:t>
      </w:r>
      <w:r w:rsidRPr="0008291E">
        <w:rPr>
          <w:rFonts w:asciiTheme="majorBidi" w:hAnsiTheme="majorBidi" w:cstheme="majorBidi"/>
          <w:sz w:val="28"/>
          <w:szCs w:val="28"/>
        </w:rPr>
        <w:t>.</w:t>
      </w:r>
    </w:p>
    <w:p w14:paraId="61FD934C" w14:textId="77777777" w:rsidR="00CD469A" w:rsidRPr="0008291E" w:rsidRDefault="00CD469A" w:rsidP="00851CF6">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وأخيرًا، يشمل تصنيف وولسون</w:t>
      </w:r>
      <w:r w:rsidRPr="0008291E">
        <w:rPr>
          <w:rFonts w:asciiTheme="majorBidi" w:hAnsiTheme="majorBidi" w:cstheme="majorBidi"/>
          <w:sz w:val="28"/>
          <w:szCs w:val="28"/>
        </w:rPr>
        <w:t xml:space="preserve"> (Woolson, 2014) </w:t>
      </w:r>
      <w:r w:rsidRPr="0008291E">
        <w:rPr>
          <w:rFonts w:asciiTheme="majorBidi" w:hAnsiTheme="majorBidi" w:cstheme="majorBidi"/>
          <w:sz w:val="28"/>
          <w:szCs w:val="28"/>
          <w:rtl/>
        </w:rPr>
        <w:t>مهارات الشعور بالمشكلة وتحديدها، وجمع المعلومات المتعلقة بها، ثم وضع الحلول (الفروض) والتحقق من صحتها، وصولًا إلى الاستنتاج والتعميم</w:t>
      </w:r>
      <w:r w:rsidRPr="0008291E">
        <w:rPr>
          <w:rFonts w:asciiTheme="majorBidi" w:hAnsiTheme="majorBidi" w:cstheme="majorBidi"/>
          <w:sz w:val="28"/>
          <w:szCs w:val="28"/>
        </w:rPr>
        <w:t>.</w:t>
      </w:r>
    </w:p>
    <w:p w14:paraId="519874DC" w14:textId="767CF2E0" w:rsidR="00CD469A" w:rsidRPr="0008291E" w:rsidRDefault="00CD469A" w:rsidP="005C511F">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يعكس هذا التنوع في التصنيفات والنماذج وجهات النظر المختلفة حول الطبيعة الديناميكية لعملية حل المشكلات والمهارات المتعددة التي تتطلبها</w:t>
      </w:r>
      <w:r w:rsidRPr="0008291E">
        <w:rPr>
          <w:rFonts w:asciiTheme="majorBidi" w:hAnsiTheme="majorBidi" w:cstheme="majorBidi"/>
          <w:sz w:val="28"/>
          <w:szCs w:val="28"/>
        </w:rPr>
        <w:t>.</w:t>
      </w:r>
      <w:r w:rsidRPr="0008291E">
        <w:rPr>
          <w:rFonts w:asciiTheme="majorBidi" w:hAnsiTheme="majorBidi" w:cstheme="majorBidi"/>
          <w:sz w:val="28"/>
          <w:szCs w:val="28"/>
          <w:rtl/>
        </w:rPr>
        <w:br w:type="page"/>
      </w:r>
    </w:p>
    <w:p w14:paraId="60C7F862" w14:textId="77777777" w:rsidR="00CD469A" w:rsidRPr="0008291E" w:rsidRDefault="00CD469A" w:rsidP="00851CF6">
      <w:pPr>
        <w:pStyle w:val="Heading2"/>
        <w:bidi/>
        <w:rPr>
          <w:rFonts w:asciiTheme="majorBidi" w:hAnsiTheme="majorBidi"/>
          <w:rtl/>
        </w:rPr>
      </w:pPr>
      <w:bookmarkStart w:id="1" w:name="_Toc188039717"/>
      <w:commentRangeStart w:id="2"/>
      <w:r w:rsidRPr="0008291E">
        <w:rPr>
          <w:rFonts w:asciiTheme="majorBidi" w:hAnsiTheme="majorBidi"/>
          <w:rtl/>
        </w:rPr>
        <w:lastRenderedPageBreak/>
        <w:t>العلاقة بين حل المشكلات ونمط حشد المصادر وزمنه:</w:t>
      </w:r>
      <w:bookmarkEnd w:id="1"/>
      <w:commentRangeEnd w:id="2"/>
      <w:r w:rsidR="005642FB" w:rsidRPr="0008291E">
        <w:rPr>
          <w:rStyle w:val="CommentReference"/>
          <w:rFonts w:asciiTheme="majorBidi" w:eastAsiaTheme="minorHAnsi" w:hAnsiTheme="majorBidi"/>
          <w:color w:val="auto"/>
          <w:rtl/>
        </w:rPr>
        <w:commentReference w:id="2"/>
      </w:r>
    </w:p>
    <w:p w14:paraId="7290A6FC" w14:textId="77777777" w:rsidR="00CD469A" w:rsidRPr="0008291E" w:rsidRDefault="00CD469A" w:rsidP="00437698">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حشد المصادر يتم من خلال مجتمع، ومجتمعات حشد المصادر</w:t>
      </w:r>
      <w:r w:rsidRPr="0008291E">
        <w:rPr>
          <w:rFonts w:asciiTheme="majorBidi" w:hAnsiTheme="majorBidi" w:cstheme="majorBidi"/>
          <w:sz w:val="28"/>
          <w:szCs w:val="28"/>
        </w:rPr>
        <w:t xml:space="preserve"> (Crowdsourcing Communities) </w:t>
      </w:r>
      <w:r w:rsidRPr="0008291E">
        <w:rPr>
          <w:rFonts w:asciiTheme="majorBidi" w:hAnsiTheme="majorBidi" w:cstheme="majorBidi"/>
          <w:sz w:val="28"/>
          <w:szCs w:val="28"/>
          <w:rtl/>
        </w:rPr>
        <w:t>هي مجتمعات تعلم على الخط قائمة على المهمة، إذ تهدف إلى حل مشكلات معقدة تواجه الفرد، بطريقة تعاونية أو تشاركية. فحشد المصادر هو مجموعة كبيرة أو صغيرة من الأفراد يحلون مشكلة قد يصعب على فرد واحد حلها</w:t>
      </w:r>
      <w:r w:rsidRPr="0008291E">
        <w:rPr>
          <w:rFonts w:asciiTheme="majorBidi" w:hAnsiTheme="majorBidi" w:cstheme="majorBidi"/>
          <w:sz w:val="28"/>
          <w:szCs w:val="28"/>
        </w:rPr>
        <w:t xml:space="preserve"> (Michel, Gil, Ratnakar &amp; Hauder, 2015).</w:t>
      </w:r>
    </w:p>
    <w:p w14:paraId="3262F427" w14:textId="77777777" w:rsidR="00CD469A" w:rsidRPr="0008291E" w:rsidRDefault="00CD469A" w:rsidP="00437698">
      <w:pPr>
        <w:bidi/>
        <w:ind w:left="720" w:firstLine="720"/>
        <w:jc w:val="both"/>
        <w:rPr>
          <w:rFonts w:asciiTheme="majorBidi" w:hAnsiTheme="majorBidi" w:cstheme="majorBidi"/>
          <w:sz w:val="28"/>
          <w:szCs w:val="28"/>
        </w:rPr>
      </w:pPr>
      <w:r w:rsidRPr="0008291E">
        <w:rPr>
          <w:rFonts w:asciiTheme="majorBidi" w:hAnsiTheme="majorBidi" w:cstheme="majorBidi"/>
          <w:sz w:val="28"/>
          <w:szCs w:val="28"/>
          <w:rtl/>
        </w:rPr>
        <w:t>حل المشكلات يتطلب اتباع مجموعة من الخطوات المتتابعة التي تهدف إلى الوصول إلى حل نهائي. غالبًا ما يواجه المتعلم تحديًا في الخطوة الأولى، مما يجعل تطبيق أسلوب التعلم المرحلي</w:t>
      </w:r>
      <w:r w:rsidRPr="0008291E">
        <w:rPr>
          <w:rFonts w:asciiTheme="majorBidi" w:hAnsiTheme="majorBidi" w:cstheme="majorBidi"/>
          <w:sz w:val="28"/>
          <w:szCs w:val="28"/>
        </w:rPr>
        <w:t xml:space="preserve"> (Subgoal Learning) </w:t>
      </w:r>
      <w:r w:rsidRPr="0008291E">
        <w:rPr>
          <w:rFonts w:asciiTheme="majorBidi" w:hAnsiTheme="majorBidi" w:cstheme="majorBidi"/>
          <w:sz w:val="28"/>
          <w:szCs w:val="28"/>
          <w:rtl/>
        </w:rPr>
        <w:t>ضرورة. في هذه المرحلة، قد يحتاج المتعلم إلى توجيه ودعم لتحديد خطوات الحل، وهو دعم يمكن أن يأتي من زملائه عن طريق التعاون الجماعي في حل المشكلة، فيما يُعرف بمفهوم "حشد المتعلمين</w:t>
      </w:r>
      <w:r w:rsidRPr="0008291E">
        <w:rPr>
          <w:rFonts w:asciiTheme="majorBidi" w:hAnsiTheme="majorBidi" w:cstheme="majorBidi"/>
          <w:sz w:val="28"/>
          <w:szCs w:val="28"/>
        </w:rPr>
        <w:t>" (</w:t>
      </w:r>
      <w:proofErr w:type="spellStart"/>
      <w:r w:rsidRPr="0008291E">
        <w:rPr>
          <w:rFonts w:asciiTheme="majorBidi" w:hAnsiTheme="majorBidi" w:cstheme="majorBidi"/>
          <w:sz w:val="28"/>
          <w:szCs w:val="28"/>
        </w:rPr>
        <w:t>Learnersourcing</w:t>
      </w:r>
      <w:proofErr w:type="spellEnd"/>
      <w:r w:rsidRPr="0008291E">
        <w:rPr>
          <w:rFonts w:asciiTheme="majorBidi" w:hAnsiTheme="majorBidi" w:cstheme="majorBidi"/>
          <w:sz w:val="28"/>
          <w:szCs w:val="28"/>
        </w:rPr>
        <w:t xml:space="preserve">). </w:t>
      </w:r>
      <w:r w:rsidRPr="0008291E">
        <w:rPr>
          <w:rFonts w:asciiTheme="majorBidi" w:hAnsiTheme="majorBidi" w:cstheme="majorBidi"/>
          <w:sz w:val="28"/>
          <w:szCs w:val="28"/>
          <w:rtl/>
        </w:rPr>
        <w:t>لتحقيق ذلك، يصبح من الضروري تطوير منصة مخصصة لهذا الغرض، كما ورد في دراسة جين وزملائه</w:t>
      </w:r>
      <w:r w:rsidRPr="0008291E">
        <w:rPr>
          <w:rFonts w:asciiTheme="majorBidi" w:hAnsiTheme="majorBidi" w:cstheme="majorBidi"/>
          <w:sz w:val="28"/>
          <w:szCs w:val="28"/>
        </w:rPr>
        <w:t xml:space="preserve"> (Jin, Chang &amp; Kim, 2019).</w:t>
      </w:r>
    </w:p>
    <w:p w14:paraId="193D5782" w14:textId="77777777" w:rsidR="00CD469A" w:rsidRPr="0008291E" w:rsidRDefault="00CD469A" w:rsidP="00437698">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أكد</w:t>
      </w:r>
      <w:r w:rsidRPr="0008291E">
        <w:rPr>
          <w:rFonts w:asciiTheme="majorBidi" w:hAnsiTheme="majorBidi" w:cstheme="majorBidi"/>
          <w:sz w:val="28"/>
          <w:szCs w:val="28"/>
        </w:rPr>
        <w:t xml:space="preserve"> Hammon </w:t>
      </w:r>
      <w:proofErr w:type="gramStart"/>
      <w:r w:rsidRPr="0008291E">
        <w:rPr>
          <w:rFonts w:asciiTheme="majorBidi" w:hAnsiTheme="majorBidi" w:cstheme="majorBidi"/>
          <w:sz w:val="28"/>
          <w:szCs w:val="28"/>
          <w:rtl/>
        </w:rPr>
        <w:t>و</w:t>
      </w:r>
      <w:r w:rsidRPr="0008291E">
        <w:rPr>
          <w:rFonts w:asciiTheme="majorBidi" w:hAnsiTheme="majorBidi" w:cstheme="majorBidi"/>
          <w:sz w:val="28"/>
          <w:szCs w:val="28"/>
        </w:rPr>
        <w:t xml:space="preserve"> </w:t>
      </w:r>
      <w:proofErr w:type="spellStart"/>
      <w:r w:rsidRPr="0008291E">
        <w:rPr>
          <w:rFonts w:asciiTheme="majorBidi" w:hAnsiTheme="majorBidi" w:cstheme="majorBidi"/>
          <w:sz w:val="28"/>
          <w:szCs w:val="28"/>
        </w:rPr>
        <w:t>Hippner</w:t>
      </w:r>
      <w:proofErr w:type="spellEnd"/>
      <w:proofErr w:type="gramEnd"/>
      <w:r w:rsidRPr="0008291E">
        <w:rPr>
          <w:rFonts w:asciiTheme="majorBidi" w:hAnsiTheme="majorBidi" w:cstheme="majorBidi"/>
          <w:sz w:val="28"/>
          <w:szCs w:val="28"/>
        </w:rPr>
        <w:t xml:space="preserve"> </w:t>
      </w:r>
      <w:r w:rsidRPr="0008291E">
        <w:rPr>
          <w:rFonts w:asciiTheme="majorBidi" w:hAnsiTheme="majorBidi" w:cstheme="majorBidi"/>
          <w:sz w:val="28"/>
          <w:szCs w:val="28"/>
          <w:rtl/>
        </w:rPr>
        <w:t>(2012، ص 166) على أن حشد المصادر في بيئات التعلم الاجتماعي يرتبط ارتباطًا وثيقًا بحل المشكلات؛ حيث يمكن للمتعلمين توسيع نطاق مواردهم ومعارفهم عبر التراجع عن حلول قد تكون غير صائبة واعتماد أفكار جديدة من مصادر خارجية لأداء المهام المطلوبة لحل المشكلة. كما توفّر هذه البيئات إجراءات تعزيزية تدعم كل خطوة يقوم بها المتعلم</w:t>
      </w:r>
      <w:r w:rsidRPr="0008291E">
        <w:rPr>
          <w:rFonts w:asciiTheme="majorBidi" w:hAnsiTheme="majorBidi" w:cstheme="majorBidi"/>
          <w:sz w:val="28"/>
          <w:szCs w:val="28"/>
        </w:rPr>
        <w:t>.</w:t>
      </w:r>
    </w:p>
    <w:p w14:paraId="7802C5EB" w14:textId="015D8B9C" w:rsidR="00CD469A" w:rsidRPr="0008291E" w:rsidRDefault="00CD469A" w:rsidP="0017194C">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وأظهرت دراسة شيماء مصطفى محمد وآخرون (2023) فعالية بيئات التعلم الإلكتروني القائمة على حشد المصادر في تنمية مهارات حل المشكلات.</w:t>
      </w:r>
      <w:r w:rsidRPr="0008291E">
        <w:rPr>
          <w:rFonts w:asciiTheme="majorBidi" w:hAnsiTheme="majorBidi" w:cstheme="majorBidi"/>
          <w:sz w:val="28"/>
          <w:szCs w:val="28"/>
          <w:rtl/>
        </w:rPr>
        <w:br w:type="page"/>
      </w:r>
    </w:p>
    <w:p w14:paraId="65855487" w14:textId="77777777" w:rsidR="00CD469A" w:rsidRPr="0008291E" w:rsidRDefault="00CD469A" w:rsidP="00C356F2">
      <w:pPr>
        <w:pStyle w:val="Heading2"/>
        <w:bidi/>
        <w:rPr>
          <w:rFonts w:asciiTheme="majorBidi" w:hAnsiTheme="majorBidi"/>
        </w:rPr>
      </w:pPr>
      <w:r w:rsidRPr="0008291E">
        <w:rPr>
          <w:rFonts w:asciiTheme="majorBidi" w:hAnsiTheme="majorBidi"/>
          <w:rtl/>
        </w:rPr>
        <w:lastRenderedPageBreak/>
        <w:t>مفهوم التدفق النفسي</w:t>
      </w:r>
    </w:p>
    <w:p w14:paraId="4708AEB0"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يُعد مفهوم التدفق الذهني (</w:t>
      </w:r>
      <w:r w:rsidRPr="0008291E">
        <w:rPr>
          <w:rFonts w:asciiTheme="majorBidi" w:hAnsiTheme="majorBidi" w:cstheme="majorBidi"/>
          <w:sz w:val="28"/>
          <w:szCs w:val="28"/>
        </w:rPr>
        <w:t>Mental Flow</w:t>
      </w:r>
      <w:r w:rsidRPr="0008291E">
        <w:rPr>
          <w:rFonts w:asciiTheme="majorBidi" w:hAnsiTheme="majorBidi" w:cstheme="majorBidi"/>
          <w:sz w:val="28"/>
          <w:szCs w:val="28"/>
          <w:rtl/>
        </w:rPr>
        <w:t>) من المفاهيم المركزية في علم النفس الإيجابي وتطبيقاته، ويكتسب أهمية متزايدة في مجال تكنولوجيا التعليم نظراً لارتباطه العميق بالدافعية والانغماس والأداء المتميز للمتعلمين، خاصة في البيئات التفاعلية والرقمية. وقد تعددت التعريفات التي تناولت هذا المفهوم، ومن أبرزها:</w:t>
      </w:r>
    </w:p>
    <w:p w14:paraId="33226224"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يعرفه أباظة (2011، ص. 140) بأنه حالة يندمج فيها الفرد بشكل كامل في أداء المهام، موجهًا أقصى درجات الانتباه والوعي لتحقيقها. وتُعد هذه الحالة خبرة فريدة تمنح الفرد شعورًا بالسعادة والبهجة نتيجة الانغماس العميق في أداء المهمة، مما يؤدي إلى نسيان الذات، كما تُسهم في تعزيز فاعلية الذات وتحمل المسؤولية وتنمية التفكير الإبداعي والدافعية للإنجاز ومواجهة التحديات.</w:t>
      </w:r>
    </w:p>
    <w:p w14:paraId="491BCE80"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ويشير إليه </w:t>
      </w:r>
      <w:proofErr w:type="spellStart"/>
      <w:r w:rsidRPr="0008291E">
        <w:rPr>
          <w:rFonts w:asciiTheme="majorBidi" w:hAnsiTheme="majorBidi" w:cstheme="majorBidi"/>
          <w:sz w:val="28"/>
          <w:szCs w:val="28"/>
          <w:rtl/>
        </w:rPr>
        <w:t>تشيكسنتميهاي</w:t>
      </w:r>
      <w:proofErr w:type="spellEnd"/>
      <w:r w:rsidRPr="0008291E">
        <w:rPr>
          <w:rFonts w:asciiTheme="majorBidi" w:hAnsiTheme="majorBidi" w:cstheme="majorBidi"/>
          <w:sz w:val="28"/>
          <w:szCs w:val="28"/>
          <w:rtl/>
        </w:rPr>
        <w:t xml:space="preserve"> (</w:t>
      </w:r>
      <w:r w:rsidRPr="0008291E">
        <w:rPr>
          <w:rFonts w:asciiTheme="majorBidi" w:hAnsiTheme="majorBidi" w:cstheme="majorBidi"/>
          <w:sz w:val="28"/>
          <w:szCs w:val="28"/>
        </w:rPr>
        <w:t>Csikszentmihalyi, 1990, p. 72</w:t>
      </w:r>
      <w:r w:rsidRPr="0008291E">
        <w:rPr>
          <w:rFonts w:asciiTheme="majorBidi" w:hAnsiTheme="majorBidi" w:cstheme="majorBidi"/>
          <w:sz w:val="28"/>
          <w:szCs w:val="28"/>
          <w:rtl/>
        </w:rPr>
        <w:t>) بأنه حالة شعورية غامرة يشعر بها الفرد عندما يكون مندمجًا بالكامل في أداء نشاط معين، حيث يتحول من المستوى المألوف للأداء إلى حالة من الانغماس الكامل.</w:t>
      </w:r>
    </w:p>
    <w:p w14:paraId="4ACDF305"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أما </w:t>
      </w:r>
      <w:proofErr w:type="spellStart"/>
      <w:r w:rsidRPr="0008291E">
        <w:rPr>
          <w:rFonts w:asciiTheme="majorBidi" w:hAnsiTheme="majorBidi" w:cstheme="majorBidi"/>
          <w:sz w:val="28"/>
          <w:szCs w:val="28"/>
          <w:rtl/>
        </w:rPr>
        <w:t>لوتز</w:t>
      </w:r>
      <w:proofErr w:type="spellEnd"/>
      <w:r w:rsidRPr="0008291E">
        <w:rPr>
          <w:rFonts w:asciiTheme="majorBidi" w:hAnsiTheme="majorBidi" w:cstheme="majorBidi"/>
          <w:sz w:val="28"/>
          <w:szCs w:val="28"/>
          <w:rtl/>
        </w:rPr>
        <w:t xml:space="preserve"> وجويري (</w:t>
      </w:r>
      <w:r w:rsidRPr="0008291E">
        <w:rPr>
          <w:rFonts w:asciiTheme="majorBidi" w:hAnsiTheme="majorBidi" w:cstheme="majorBidi"/>
          <w:sz w:val="28"/>
          <w:szCs w:val="28"/>
        </w:rPr>
        <w:t>Lutz</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Guiry, 1994, p. 45</w:t>
      </w:r>
      <w:r w:rsidRPr="0008291E">
        <w:rPr>
          <w:rFonts w:asciiTheme="majorBidi" w:hAnsiTheme="majorBidi" w:cstheme="majorBidi"/>
          <w:sz w:val="28"/>
          <w:szCs w:val="28"/>
          <w:rtl/>
        </w:rPr>
        <w:t>) فيريانه حالة ذهنية إيجابية وإثارة داخلية تحدث عندما يشارك الفرد بعمق في بعض الأنشطة أو الأحداث المحببة إليه.</w:t>
      </w:r>
    </w:p>
    <w:p w14:paraId="59F0DD95"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ويصفه جاكسون وآخرون (</w:t>
      </w:r>
      <w:r w:rsidRPr="0008291E">
        <w:rPr>
          <w:rFonts w:asciiTheme="majorBidi" w:hAnsiTheme="majorBidi" w:cstheme="majorBidi"/>
          <w:sz w:val="28"/>
          <w:szCs w:val="28"/>
        </w:rPr>
        <w:t>Jackson et al., 2001, p. 130</w:t>
      </w:r>
      <w:r w:rsidRPr="0008291E">
        <w:rPr>
          <w:rFonts w:asciiTheme="majorBidi" w:hAnsiTheme="majorBidi" w:cstheme="majorBidi"/>
          <w:sz w:val="28"/>
          <w:szCs w:val="28"/>
          <w:rtl/>
        </w:rPr>
        <w:t>) بأنه حالة نفسية مثلى تحدث عندما يتحقق توازن دقيق بين التحديات المدركة في المهمة والمهارات التي يعتقد الفرد أنه يمتلكها لإنجازها، مما يقود إلى تركيز شديد واستغراق تام في النشاط.</w:t>
      </w:r>
    </w:p>
    <w:p w14:paraId="08718402"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ويعرفه العطار (2019، ص. 393) بشكل شامل بأنه أقصى مستويات الأداء المصحوب بالشعور بالسعادة والمتعة والاندماج وتغير إدراك الوقت والسيطرة الكاملة وغياب الخوف من الفشل، ويتحقق ذلك من خلال وجود أهداف واضحة ومحددة، وتلقي ردود فعل فورية، والقدرة على موازنة التحديات العالية المتصورة مع المهارات الشخصية العالية.</w:t>
      </w:r>
    </w:p>
    <w:p w14:paraId="05E20344"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ويرى </w:t>
      </w:r>
      <w:proofErr w:type="spellStart"/>
      <w:r w:rsidRPr="0008291E">
        <w:rPr>
          <w:rFonts w:asciiTheme="majorBidi" w:hAnsiTheme="majorBidi" w:cstheme="majorBidi"/>
          <w:sz w:val="28"/>
          <w:szCs w:val="28"/>
          <w:rtl/>
        </w:rPr>
        <w:t>نيكيتش</w:t>
      </w:r>
      <w:proofErr w:type="spellEnd"/>
      <w:r w:rsidRPr="0008291E">
        <w:rPr>
          <w:rFonts w:asciiTheme="majorBidi" w:hAnsiTheme="majorBidi" w:cstheme="majorBidi"/>
          <w:sz w:val="28"/>
          <w:szCs w:val="28"/>
          <w:rtl/>
        </w:rPr>
        <w:t xml:space="preserve"> وآخرون (</w:t>
      </w:r>
      <w:proofErr w:type="spellStart"/>
      <w:r w:rsidRPr="0008291E">
        <w:rPr>
          <w:rFonts w:asciiTheme="majorBidi" w:hAnsiTheme="majorBidi" w:cstheme="majorBidi"/>
          <w:sz w:val="28"/>
          <w:szCs w:val="28"/>
        </w:rPr>
        <w:t>Nicic</w:t>
      </w:r>
      <w:proofErr w:type="spellEnd"/>
      <w:r w:rsidRPr="0008291E">
        <w:rPr>
          <w:rFonts w:asciiTheme="majorBidi" w:hAnsiTheme="majorBidi" w:cstheme="majorBidi"/>
          <w:sz w:val="28"/>
          <w:szCs w:val="28"/>
        </w:rPr>
        <w:t xml:space="preserve"> et al., 2014, p. 567</w:t>
      </w:r>
      <w:r w:rsidRPr="0008291E">
        <w:rPr>
          <w:rFonts w:asciiTheme="majorBidi" w:hAnsiTheme="majorBidi" w:cstheme="majorBidi"/>
          <w:sz w:val="28"/>
          <w:szCs w:val="28"/>
          <w:rtl/>
        </w:rPr>
        <w:t>) أنه القدرة الذهنية الذاتية التي يندمج الفرد عبرها بشكل كامل في اللحظة الحالية، وينسى الوقت والتعب وكل شيء آخر عدا النشاط الذي يمارسه، مما يعكس حالة فريدة من التركيز والانغماس.</w:t>
      </w:r>
    </w:p>
    <w:p w14:paraId="4AA40691"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ومن منظور </w:t>
      </w:r>
      <w:proofErr w:type="spellStart"/>
      <w:r w:rsidRPr="0008291E">
        <w:rPr>
          <w:rFonts w:asciiTheme="majorBidi" w:hAnsiTheme="majorBidi" w:cstheme="majorBidi"/>
          <w:sz w:val="28"/>
          <w:szCs w:val="28"/>
          <w:rtl/>
        </w:rPr>
        <w:t>هيرنانديز</w:t>
      </w:r>
      <w:proofErr w:type="spellEnd"/>
      <w:r w:rsidRPr="0008291E">
        <w:rPr>
          <w:rFonts w:asciiTheme="majorBidi" w:hAnsiTheme="majorBidi" w:cstheme="majorBidi"/>
          <w:sz w:val="28"/>
          <w:szCs w:val="28"/>
          <w:rtl/>
        </w:rPr>
        <w:t xml:space="preserve"> </w:t>
      </w:r>
      <w:proofErr w:type="spellStart"/>
      <w:r w:rsidRPr="0008291E">
        <w:rPr>
          <w:rFonts w:asciiTheme="majorBidi" w:hAnsiTheme="majorBidi" w:cstheme="majorBidi"/>
          <w:sz w:val="28"/>
          <w:szCs w:val="28"/>
          <w:rtl/>
        </w:rPr>
        <w:t>وفوسر</w:t>
      </w:r>
      <w:proofErr w:type="spellEnd"/>
      <w:r w:rsidRPr="0008291E">
        <w:rPr>
          <w:rFonts w:asciiTheme="majorBidi" w:hAnsiTheme="majorBidi" w:cstheme="majorBidi"/>
          <w:sz w:val="28"/>
          <w:szCs w:val="28"/>
          <w:rtl/>
        </w:rPr>
        <w:t xml:space="preserve"> (</w:t>
      </w:r>
      <w:r w:rsidRPr="0008291E">
        <w:rPr>
          <w:rFonts w:asciiTheme="majorBidi" w:hAnsiTheme="majorBidi" w:cstheme="majorBidi"/>
          <w:sz w:val="28"/>
          <w:szCs w:val="28"/>
        </w:rPr>
        <w:t>Hernandez</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Voser, 2019, p. 1</w:t>
      </w:r>
      <w:r w:rsidRPr="0008291E">
        <w:rPr>
          <w:rFonts w:asciiTheme="majorBidi" w:hAnsiTheme="majorBidi" w:cstheme="majorBidi"/>
          <w:sz w:val="28"/>
          <w:szCs w:val="28"/>
          <w:rtl/>
        </w:rPr>
        <w:t>)، هو حالة وظيفية عالية تؤدي إلى أداء جيد، يشعر فيها الفرد بدافعية قوية لمواجهة تحديات جديدة وتكرار التجربة، مع استثمار كافة موارد الطاقة لتنفيذ المهام بكفاءة وشعور بالرضا.</w:t>
      </w:r>
    </w:p>
    <w:p w14:paraId="119CD1BA"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ويشير </w:t>
      </w:r>
      <w:proofErr w:type="spellStart"/>
      <w:r w:rsidRPr="0008291E">
        <w:rPr>
          <w:rFonts w:asciiTheme="majorBidi" w:hAnsiTheme="majorBidi" w:cstheme="majorBidi"/>
          <w:sz w:val="28"/>
          <w:szCs w:val="28"/>
          <w:rtl/>
        </w:rPr>
        <w:t>روغاتكو</w:t>
      </w:r>
      <w:proofErr w:type="spellEnd"/>
      <w:r w:rsidRPr="0008291E">
        <w:rPr>
          <w:rFonts w:asciiTheme="majorBidi" w:hAnsiTheme="majorBidi" w:cstheme="majorBidi"/>
          <w:sz w:val="28"/>
          <w:szCs w:val="28"/>
          <w:rtl/>
        </w:rPr>
        <w:t xml:space="preserve"> (</w:t>
      </w:r>
      <w:proofErr w:type="spellStart"/>
      <w:r w:rsidRPr="0008291E">
        <w:rPr>
          <w:rFonts w:asciiTheme="majorBidi" w:hAnsiTheme="majorBidi" w:cstheme="majorBidi"/>
          <w:sz w:val="28"/>
          <w:szCs w:val="28"/>
        </w:rPr>
        <w:t>Rogatko</w:t>
      </w:r>
      <w:proofErr w:type="spellEnd"/>
      <w:r w:rsidRPr="0008291E">
        <w:rPr>
          <w:rFonts w:asciiTheme="majorBidi" w:hAnsiTheme="majorBidi" w:cstheme="majorBidi"/>
          <w:sz w:val="28"/>
          <w:szCs w:val="28"/>
        </w:rPr>
        <w:t>, 2009</w:t>
      </w:r>
      <w:r w:rsidRPr="0008291E">
        <w:rPr>
          <w:rFonts w:asciiTheme="majorBidi" w:hAnsiTheme="majorBidi" w:cstheme="majorBidi"/>
          <w:sz w:val="28"/>
          <w:szCs w:val="28"/>
          <w:rtl/>
        </w:rPr>
        <w:t>, ص. 133) إلى أنه الحالة التي يصبح فيها الفرد منغمساً تماماً في النشاط الذي يمارسه، وبخاصة عندما تتوافق مستويات مهاراته مع مستوى التحدي أو الصعوبة في المهام التي ينفذها.</w:t>
      </w:r>
    </w:p>
    <w:p w14:paraId="4826995F"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lastRenderedPageBreak/>
        <w:t xml:space="preserve">ويصفه </w:t>
      </w:r>
      <w:proofErr w:type="spellStart"/>
      <w:r w:rsidRPr="0008291E">
        <w:rPr>
          <w:rFonts w:asciiTheme="majorBidi" w:hAnsiTheme="majorBidi" w:cstheme="majorBidi"/>
          <w:sz w:val="28"/>
          <w:szCs w:val="28"/>
          <w:rtl/>
        </w:rPr>
        <w:t>تافاريس</w:t>
      </w:r>
      <w:proofErr w:type="spellEnd"/>
      <w:r w:rsidRPr="0008291E">
        <w:rPr>
          <w:rFonts w:asciiTheme="majorBidi" w:hAnsiTheme="majorBidi" w:cstheme="majorBidi"/>
          <w:sz w:val="28"/>
          <w:szCs w:val="28"/>
          <w:rtl/>
        </w:rPr>
        <w:t xml:space="preserve"> </w:t>
      </w:r>
      <w:proofErr w:type="spellStart"/>
      <w:r w:rsidRPr="0008291E">
        <w:rPr>
          <w:rFonts w:asciiTheme="majorBidi" w:hAnsiTheme="majorBidi" w:cstheme="majorBidi"/>
          <w:sz w:val="28"/>
          <w:szCs w:val="28"/>
          <w:rtl/>
        </w:rPr>
        <w:t>وفريير</w:t>
      </w:r>
      <w:proofErr w:type="spellEnd"/>
      <w:r w:rsidRPr="0008291E">
        <w:rPr>
          <w:rFonts w:asciiTheme="majorBidi" w:hAnsiTheme="majorBidi" w:cstheme="majorBidi"/>
          <w:sz w:val="28"/>
          <w:szCs w:val="28"/>
          <w:rtl/>
        </w:rPr>
        <w:t xml:space="preserve"> (</w:t>
      </w:r>
      <w:r w:rsidRPr="0008291E">
        <w:rPr>
          <w:rFonts w:asciiTheme="majorBidi" w:hAnsiTheme="majorBidi" w:cstheme="majorBidi"/>
          <w:sz w:val="28"/>
          <w:szCs w:val="28"/>
        </w:rPr>
        <w:t>Tavares</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Freire, 2016, p. 77</w:t>
      </w:r>
      <w:r w:rsidRPr="0008291E">
        <w:rPr>
          <w:rFonts w:asciiTheme="majorBidi" w:hAnsiTheme="majorBidi" w:cstheme="majorBidi"/>
          <w:sz w:val="28"/>
          <w:szCs w:val="28"/>
          <w:rtl/>
        </w:rPr>
        <w:t>) بأنه خبرة نفسية مثالية تتميز بالاندماج الكامل في النشاط، والتركيز الكلي، والمتعة، والدافعية الداخلية التي تنبع من النشاط نفسه.</w:t>
      </w:r>
    </w:p>
    <w:p w14:paraId="0BD6B253"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ويعرفه محمود (2015، ص. 299) بأنه حالة نفسية تنساب فيها المشاعر الإيجابية وتؤدي لمستوى أمثل من الإثارة والنشاط، يتمكن فيها الفرد من كبت مصادر الطاقة السلبية كالتوتر والقلق والملل، للوصول إلى خبرة مثلى تتضمن الاستمتاع والثقة بالنفس والتركيز والإحساس بالتحكم والسيطرة وانسياب الأفكار وآلية الأداء.</w:t>
      </w:r>
    </w:p>
    <w:p w14:paraId="4683C157"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أما </w:t>
      </w:r>
      <w:proofErr w:type="spellStart"/>
      <w:r w:rsidRPr="0008291E">
        <w:rPr>
          <w:rFonts w:asciiTheme="majorBidi" w:hAnsiTheme="majorBidi" w:cstheme="majorBidi"/>
          <w:sz w:val="28"/>
          <w:szCs w:val="28"/>
          <w:rtl/>
        </w:rPr>
        <w:t>ليبوفيتش</w:t>
      </w:r>
      <w:proofErr w:type="spellEnd"/>
      <w:r w:rsidRPr="0008291E">
        <w:rPr>
          <w:rFonts w:asciiTheme="majorBidi" w:hAnsiTheme="majorBidi" w:cstheme="majorBidi"/>
          <w:sz w:val="28"/>
          <w:szCs w:val="28"/>
          <w:rtl/>
        </w:rPr>
        <w:t xml:space="preserve"> دي فيغيروا </w:t>
      </w:r>
      <w:proofErr w:type="spellStart"/>
      <w:r w:rsidRPr="0008291E">
        <w:rPr>
          <w:rFonts w:asciiTheme="majorBidi" w:hAnsiTheme="majorBidi" w:cstheme="majorBidi"/>
          <w:sz w:val="28"/>
          <w:szCs w:val="28"/>
          <w:rtl/>
        </w:rPr>
        <w:t>وخيمينيز</w:t>
      </w:r>
      <w:proofErr w:type="spellEnd"/>
      <w:r w:rsidRPr="0008291E">
        <w:rPr>
          <w:rFonts w:asciiTheme="majorBidi" w:hAnsiTheme="majorBidi" w:cstheme="majorBidi"/>
          <w:sz w:val="28"/>
          <w:szCs w:val="28"/>
          <w:rtl/>
        </w:rPr>
        <w:t xml:space="preserve"> (</w:t>
      </w:r>
      <w:r w:rsidRPr="0008291E">
        <w:rPr>
          <w:rFonts w:asciiTheme="majorBidi" w:hAnsiTheme="majorBidi" w:cstheme="majorBidi"/>
          <w:sz w:val="28"/>
          <w:szCs w:val="28"/>
        </w:rPr>
        <w:t>Leibovich De Figueroa</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Gimenez, 2013, p. 3</w:t>
      </w:r>
      <w:r w:rsidRPr="0008291E">
        <w:rPr>
          <w:rFonts w:asciiTheme="majorBidi" w:hAnsiTheme="majorBidi" w:cstheme="majorBidi"/>
          <w:sz w:val="28"/>
          <w:szCs w:val="28"/>
          <w:rtl/>
        </w:rPr>
        <w:t>) فيريانه يعتمد على توازن دينامي مستمر بين القدرات الشخصية للفرد والفرص المناسبة للفعل أو النشاط المتاحة أمامه في الموقف.</w:t>
      </w:r>
    </w:p>
    <w:p w14:paraId="479D005F"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يتضح من العرض المستفيض لتعريفات التدفق الذهني أنه يمثل حالة ذهنية ونفسية معقدة، لكنها متفق عليها في جوهرها باعتبارها تجربة انغماس قصوى ومثلى في نشاط أو مهمة ما. يمكن استخلاص السمات والمكونات الأساسية التالية من مجمل التعريفات:</w:t>
      </w:r>
    </w:p>
    <w:p w14:paraId="6D240736" w14:textId="77777777" w:rsidR="00CD469A" w:rsidRPr="0008291E" w:rsidRDefault="00CD469A" w:rsidP="00E25A67">
      <w:pPr>
        <w:numPr>
          <w:ilvl w:val="0"/>
          <w:numId w:val="7"/>
        </w:numPr>
        <w:bidi/>
        <w:jc w:val="both"/>
        <w:rPr>
          <w:rFonts w:asciiTheme="majorBidi" w:hAnsiTheme="majorBidi" w:cstheme="majorBidi"/>
          <w:sz w:val="28"/>
          <w:szCs w:val="28"/>
          <w:rtl/>
        </w:rPr>
      </w:pPr>
      <w:r w:rsidRPr="0008291E">
        <w:rPr>
          <w:rFonts w:asciiTheme="majorBidi" w:hAnsiTheme="majorBidi" w:cstheme="majorBidi"/>
          <w:b/>
          <w:bCs/>
          <w:sz w:val="28"/>
          <w:szCs w:val="28"/>
          <w:rtl/>
        </w:rPr>
        <w:t>الانغماس والتركيز الكامل:</w:t>
      </w:r>
      <w:r w:rsidRPr="0008291E">
        <w:rPr>
          <w:rFonts w:asciiTheme="majorBidi" w:hAnsiTheme="majorBidi" w:cstheme="majorBidi"/>
          <w:sz w:val="28"/>
          <w:szCs w:val="28"/>
          <w:rtl/>
        </w:rPr>
        <w:t xml:space="preserve"> السمة الأبرز هي الانغماس التام في النشاط، مع تركيز انتباه حاد وموجه، وفقدان الوعي بالمشتتات المحيطة.</w:t>
      </w:r>
    </w:p>
    <w:p w14:paraId="1A35A67E" w14:textId="77777777" w:rsidR="00CD469A" w:rsidRPr="0008291E" w:rsidRDefault="00CD469A" w:rsidP="00E25A67">
      <w:pPr>
        <w:numPr>
          <w:ilvl w:val="0"/>
          <w:numId w:val="7"/>
        </w:numPr>
        <w:bidi/>
        <w:jc w:val="both"/>
        <w:rPr>
          <w:rFonts w:asciiTheme="majorBidi" w:hAnsiTheme="majorBidi" w:cstheme="majorBidi"/>
          <w:sz w:val="28"/>
          <w:szCs w:val="28"/>
          <w:rtl/>
        </w:rPr>
      </w:pPr>
      <w:r w:rsidRPr="0008291E">
        <w:rPr>
          <w:rFonts w:asciiTheme="majorBidi" w:hAnsiTheme="majorBidi" w:cstheme="majorBidi"/>
          <w:b/>
          <w:bCs/>
          <w:sz w:val="28"/>
          <w:szCs w:val="28"/>
          <w:rtl/>
        </w:rPr>
        <w:t>الشروط الأساسية:</w:t>
      </w:r>
      <w:r w:rsidRPr="0008291E">
        <w:rPr>
          <w:rFonts w:asciiTheme="majorBidi" w:hAnsiTheme="majorBidi" w:cstheme="majorBidi"/>
          <w:sz w:val="28"/>
          <w:szCs w:val="28"/>
          <w:rtl/>
        </w:rPr>
        <w:t xml:space="preserve"> يتوقف تحقيق التدفق بشكل كبير على توافر شروط محددة، أهمها التوازن المدرك بين تحديات المهمة ومهارات الفرد، ووضوح الأهداف المرجوة من النشاط، والحصول على تغذية راجعة فورية وواضحة حول الأداء.</w:t>
      </w:r>
    </w:p>
    <w:p w14:paraId="1740FDA0" w14:textId="77777777" w:rsidR="00CD469A" w:rsidRPr="0008291E" w:rsidRDefault="00CD469A" w:rsidP="00E25A67">
      <w:pPr>
        <w:numPr>
          <w:ilvl w:val="0"/>
          <w:numId w:val="7"/>
        </w:numPr>
        <w:bidi/>
        <w:jc w:val="both"/>
        <w:rPr>
          <w:rFonts w:asciiTheme="majorBidi" w:hAnsiTheme="majorBidi" w:cstheme="majorBidi"/>
          <w:sz w:val="28"/>
          <w:szCs w:val="28"/>
          <w:rtl/>
        </w:rPr>
      </w:pPr>
      <w:r w:rsidRPr="0008291E">
        <w:rPr>
          <w:rFonts w:asciiTheme="majorBidi" w:hAnsiTheme="majorBidi" w:cstheme="majorBidi"/>
          <w:b/>
          <w:bCs/>
          <w:sz w:val="28"/>
          <w:szCs w:val="28"/>
          <w:rtl/>
        </w:rPr>
        <w:t>التجربة الذاتية المميزة:</w:t>
      </w:r>
      <w:r w:rsidRPr="0008291E">
        <w:rPr>
          <w:rFonts w:asciiTheme="majorBidi" w:hAnsiTheme="majorBidi" w:cstheme="majorBidi"/>
          <w:sz w:val="28"/>
          <w:szCs w:val="28"/>
          <w:rtl/>
        </w:rPr>
        <w:t xml:space="preserve"> يصاحب التدفق تجربة ذاتية فريدة تشمل الشعور بالمتعة الداخلية والاستمتاع بالنشاط لذاته (دافعية داخلية)، والشعور بالسيطرة والتحكم في الموقف، بالإضافة إلى تغير في إدراك الزمن (مروره بسرعة أو ببطء شديد) وفقدان الوعي بالذات أو الانشغال بتقييمها.</w:t>
      </w:r>
    </w:p>
    <w:p w14:paraId="334EB266" w14:textId="77777777" w:rsidR="00CD469A" w:rsidRPr="0008291E" w:rsidRDefault="00CD469A" w:rsidP="00E25A67">
      <w:pPr>
        <w:numPr>
          <w:ilvl w:val="0"/>
          <w:numId w:val="7"/>
        </w:numPr>
        <w:bidi/>
        <w:jc w:val="both"/>
        <w:rPr>
          <w:rFonts w:asciiTheme="majorBidi" w:hAnsiTheme="majorBidi" w:cstheme="majorBidi"/>
          <w:sz w:val="28"/>
          <w:szCs w:val="28"/>
          <w:rtl/>
        </w:rPr>
      </w:pPr>
      <w:r w:rsidRPr="0008291E">
        <w:rPr>
          <w:rFonts w:asciiTheme="majorBidi" w:hAnsiTheme="majorBidi" w:cstheme="majorBidi"/>
          <w:b/>
          <w:bCs/>
          <w:sz w:val="28"/>
          <w:szCs w:val="28"/>
          <w:rtl/>
        </w:rPr>
        <w:t>النتائج الإيجابية:</w:t>
      </w:r>
      <w:r w:rsidRPr="0008291E">
        <w:rPr>
          <w:rFonts w:asciiTheme="majorBidi" w:hAnsiTheme="majorBidi" w:cstheme="majorBidi"/>
          <w:sz w:val="28"/>
          <w:szCs w:val="28"/>
          <w:rtl/>
        </w:rPr>
        <w:t xml:space="preserve"> غالباً ما يرتبط التدفق الذهني بمستويات أداء عالية وكفاءة في إنجاز المهام، بالإضافة إلى تعزيز مشاعر الثقة بالنفس، والفاعلية الذاتية، والإبداع، والحماس لمواجهة تحديات جديدة.</w:t>
      </w:r>
    </w:p>
    <w:p w14:paraId="6D1ED3A3" w14:textId="77777777" w:rsidR="00CD469A" w:rsidRPr="0008291E" w:rsidRDefault="00CD469A" w:rsidP="00E25A67">
      <w:pPr>
        <w:pStyle w:val="Heading2"/>
        <w:bidi/>
        <w:rPr>
          <w:rFonts w:asciiTheme="majorBidi" w:hAnsiTheme="majorBidi"/>
          <w:rtl/>
        </w:rPr>
      </w:pPr>
      <w:r w:rsidRPr="0008291E">
        <w:rPr>
          <w:rStyle w:val="Heading2Char"/>
          <w:rFonts w:asciiTheme="majorBidi" w:hAnsiTheme="majorBidi"/>
          <w:rtl/>
        </w:rPr>
        <w:t>أهمية</w:t>
      </w:r>
      <w:r w:rsidRPr="0008291E">
        <w:rPr>
          <w:rFonts w:asciiTheme="majorBidi" w:hAnsiTheme="majorBidi"/>
          <w:rtl/>
        </w:rPr>
        <w:t xml:space="preserve"> التدفق الذهني لطلاب المرحلة الثانوية</w:t>
      </w:r>
    </w:p>
    <w:p w14:paraId="52A9F339"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التدفق الذهني حالة ذهنية ذات أهمية بالغة لطلاب المرحلة الثانوية، حيث أظهرت الأبحاث دورها الكبير في تحسين تجارب التعلم والأداء الأكاديمي (</w:t>
      </w:r>
      <w:r w:rsidRPr="0008291E">
        <w:rPr>
          <w:rFonts w:asciiTheme="majorBidi" w:hAnsiTheme="majorBidi" w:cstheme="majorBidi"/>
          <w:sz w:val="28"/>
          <w:szCs w:val="28"/>
        </w:rPr>
        <w:t>Wagner et al., 2020</w:t>
      </w:r>
      <w:r w:rsidRPr="0008291E">
        <w:rPr>
          <w:rFonts w:asciiTheme="majorBidi" w:hAnsiTheme="majorBidi" w:cstheme="majorBidi"/>
          <w:sz w:val="28"/>
          <w:szCs w:val="28"/>
          <w:rtl/>
        </w:rPr>
        <w:t xml:space="preserve">). ويمكن تحديد أهمية تنمية هذا التدفق الذهني في العملية التعليمية والتعلم في النقاط التالية (أباظة، 2011، ص. 191؛ بقعة وقارني، 2018، ص. 230؛ </w:t>
      </w:r>
      <w:r w:rsidRPr="0008291E">
        <w:rPr>
          <w:rFonts w:asciiTheme="majorBidi" w:hAnsiTheme="majorBidi" w:cstheme="majorBidi"/>
          <w:sz w:val="28"/>
          <w:szCs w:val="28"/>
        </w:rPr>
        <w:t>Gözde, 2014, p. 160</w:t>
      </w:r>
      <w:r w:rsidRPr="0008291E">
        <w:rPr>
          <w:rFonts w:asciiTheme="majorBidi" w:hAnsiTheme="majorBidi" w:cstheme="majorBidi"/>
          <w:sz w:val="28"/>
          <w:szCs w:val="28"/>
          <w:rtl/>
        </w:rPr>
        <w:t xml:space="preserve">؛ </w:t>
      </w:r>
      <w:r w:rsidRPr="0008291E">
        <w:rPr>
          <w:rFonts w:asciiTheme="majorBidi" w:hAnsiTheme="majorBidi" w:cstheme="majorBidi"/>
          <w:sz w:val="28"/>
          <w:szCs w:val="28"/>
        </w:rPr>
        <w:t>Ishimura, 2009, p. 52</w:t>
      </w:r>
      <w:r w:rsidRPr="0008291E">
        <w:rPr>
          <w:rFonts w:asciiTheme="majorBidi" w:hAnsiTheme="majorBidi" w:cstheme="majorBidi"/>
          <w:sz w:val="28"/>
          <w:szCs w:val="28"/>
          <w:rtl/>
        </w:rPr>
        <w:t xml:space="preserve">؛ </w:t>
      </w:r>
      <w:r w:rsidRPr="0008291E">
        <w:rPr>
          <w:rFonts w:asciiTheme="majorBidi" w:hAnsiTheme="majorBidi" w:cstheme="majorBidi"/>
          <w:sz w:val="28"/>
          <w:szCs w:val="28"/>
        </w:rPr>
        <w:t>Kuhnle</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Hofer, 2012, p. 534</w:t>
      </w:r>
      <w:r w:rsidRPr="0008291E">
        <w:rPr>
          <w:rFonts w:asciiTheme="majorBidi" w:hAnsiTheme="majorBidi" w:cstheme="majorBidi"/>
          <w:sz w:val="28"/>
          <w:szCs w:val="28"/>
          <w:rtl/>
        </w:rPr>
        <w:t xml:space="preserve">؛ </w:t>
      </w:r>
      <w:proofErr w:type="spellStart"/>
      <w:r w:rsidRPr="0008291E">
        <w:rPr>
          <w:rFonts w:asciiTheme="majorBidi" w:hAnsiTheme="majorBidi" w:cstheme="majorBidi"/>
          <w:sz w:val="28"/>
          <w:szCs w:val="28"/>
        </w:rPr>
        <w:t>Rogatko</w:t>
      </w:r>
      <w:proofErr w:type="spellEnd"/>
      <w:r w:rsidRPr="0008291E">
        <w:rPr>
          <w:rFonts w:asciiTheme="majorBidi" w:hAnsiTheme="majorBidi" w:cstheme="majorBidi"/>
          <w:sz w:val="28"/>
          <w:szCs w:val="28"/>
        </w:rPr>
        <w:t>, 2009, p. 134</w:t>
      </w:r>
      <w:r w:rsidRPr="0008291E">
        <w:rPr>
          <w:rFonts w:asciiTheme="majorBidi" w:hAnsiTheme="majorBidi" w:cstheme="majorBidi"/>
          <w:sz w:val="28"/>
          <w:szCs w:val="28"/>
          <w:rtl/>
        </w:rPr>
        <w:t>):</w:t>
      </w:r>
    </w:p>
    <w:p w14:paraId="5CE4B7D5"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يساهم التدفق الذهني بشكل كبير في تعزيز الجوانب النفسية والشخصية للطالب، فهو يمثل خبرة راقية وممتعة تشعره بالسعادة والبهجة. كما يعمل على تنمية التخيل العقلي والتفكير الإبداعي </w:t>
      </w:r>
      <w:r w:rsidRPr="0008291E">
        <w:rPr>
          <w:rFonts w:asciiTheme="majorBidi" w:hAnsiTheme="majorBidi" w:cstheme="majorBidi"/>
          <w:sz w:val="28"/>
          <w:szCs w:val="28"/>
          <w:rtl/>
        </w:rPr>
        <w:lastRenderedPageBreak/>
        <w:t>لديه، ويطور مستوى طموحه ودافعيته للإنجاز. علاوة على ذلك، يعزز التدفق قدرة الطالب على مواجهة التحديات في الأداء وينمي فاعليته الذاتية وتحمله للمسؤولية (أباظة، 2011، ص. 140). وبشكل عام، يمكن لهذه الحالة تمكين الطالب من التغلب على الخوف، وتقليل مشاعر الملل واللامبالاة، وتعزيز ثقته بنفسه وشعوره بالاستقلالية وتنمية قدراته التخيلية.</w:t>
      </w:r>
    </w:p>
    <w:p w14:paraId="4D6D5652"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بالإضافة لهذه الجوانب الشخصية، يؤدي التدفق الذهني إلى تحسين العملية التعليمية نفسها من خلال توفير العوامل الأساسية لحدوثه، والتي تشمل التركيز في اللحظة الحالية، والاندماج الواعي في النشاط، وفقدان إدراك الذات، والشعور بالسيطرة والفاعلية، وعدم الشعور بالوقت، والشعور بالمكافأة الذاتية (</w:t>
      </w:r>
      <w:r w:rsidRPr="0008291E">
        <w:rPr>
          <w:rFonts w:asciiTheme="majorBidi" w:hAnsiTheme="majorBidi" w:cstheme="majorBidi"/>
          <w:sz w:val="28"/>
          <w:szCs w:val="28"/>
        </w:rPr>
        <w:t>Nakamura</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Csikszentmihalyi, 2001</w:t>
      </w:r>
      <w:r w:rsidRPr="0008291E">
        <w:rPr>
          <w:rFonts w:asciiTheme="majorBidi" w:hAnsiTheme="majorBidi" w:cstheme="majorBidi"/>
          <w:sz w:val="28"/>
          <w:szCs w:val="28"/>
          <w:rtl/>
        </w:rPr>
        <w:t>). وهذا يساعد الطالب على تحديد المهام والأنشطة التي يستمتع بأدائها ويشعر بالتوحد معها، مما يشجعه على المثابرة لتحقيق إبداع إنساني حقيقي. في هذه الحالة، يتحمل الطالب المعاناة والإجهاد دون انتظار تعزيز خارجي، ويسعى للمشاركة في الأنشطة بهدف اكتساب مهارات جديدة قابلة للتطبيق في حياته، مدفوعاً بالتركيز الكامل على الأداء والاندفاع بحيوية، مع إحساس عام بالنجاح والقدرة على التعامل مع المهام والشعور بالمتعة والقيمة أثناء تنفيذها.</w:t>
      </w:r>
    </w:p>
    <w:p w14:paraId="76956FDD"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ويُعد تحقيق التوازن عنصراً محورياً في هذه العملية، حيث يساعد التدفق الذهني على تحقيق التوازن في الأداء الأكاديمي للطالب. يتم ذلك بشكل أساسي خلال الموازنة المستمرة بين التحديات التي تطرحها المهمة والمهارات الشخصية التي يمتلكها الطالب، وتكييف الأداء للحفاظ على حالة التدفق المثلى. كما أن الحصول على تغذية راجعة فورية ومباشرة حول التقدم المحرز يعتبر عنصراً حاسماً في الحفاظ على هذا التوازن (</w:t>
      </w:r>
      <w:r w:rsidRPr="0008291E">
        <w:rPr>
          <w:rFonts w:asciiTheme="majorBidi" w:hAnsiTheme="majorBidi" w:cstheme="majorBidi"/>
          <w:sz w:val="28"/>
          <w:szCs w:val="28"/>
        </w:rPr>
        <w:t>Csikszentmihalyi</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Abuhamdeh, 2012</w:t>
      </w:r>
      <w:r w:rsidRPr="0008291E">
        <w:rPr>
          <w:rFonts w:asciiTheme="majorBidi" w:hAnsiTheme="majorBidi" w:cstheme="majorBidi"/>
          <w:sz w:val="28"/>
          <w:szCs w:val="28"/>
          <w:rtl/>
        </w:rPr>
        <w:t>). وهذا التوازن الدقيق يقلل من احتمالية شعور الطالب بالملل أو الاسترخاء المفرط أثناء تنفيذ المهام الأكاديمية.</w:t>
      </w:r>
    </w:p>
    <w:p w14:paraId="5DF15696"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علاوة على ذلك، يرتبط التدفق الذهني بتحسين التنظيم الذاتي لدى الطلاب. فالانغماس في حالة التدفق يساعدهم على الاستعداد بشكل أفضل للدراسة، وتنسيق جهودهم بفعالية أكبر في مختلف مجالات حياتهم، بالإضافة إلى تحسين قدرتهم العامة على ضبط النفس وإدارة سلوكياتهم (</w:t>
      </w:r>
      <w:r w:rsidRPr="0008291E">
        <w:rPr>
          <w:rFonts w:asciiTheme="majorBidi" w:hAnsiTheme="majorBidi" w:cstheme="majorBidi"/>
          <w:sz w:val="28"/>
          <w:szCs w:val="28"/>
        </w:rPr>
        <w:t>Kuhnle et al., 2012</w:t>
      </w:r>
      <w:r w:rsidRPr="0008291E">
        <w:rPr>
          <w:rFonts w:asciiTheme="majorBidi" w:hAnsiTheme="majorBidi" w:cstheme="majorBidi"/>
          <w:sz w:val="28"/>
          <w:szCs w:val="28"/>
          <w:rtl/>
        </w:rPr>
        <w:t>).</w:t>
      </w:r>
    </w:p>
    <w:p w14:paraId="0E93A883"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وينعكس هذا التنظيم الذاتي المحسن بدوره في تعزيز الدافعية والإنجاز الأكاديمي. إذ يساهم التدفق في تحسين التعلم المنظم ذاتياً لدى الطلاب، وتقليل ظاهرة التسويف الأكاديمي، مما ينعكس إيجاباً على مستوى إنجازهم الدراسي (</w:t>
      </w:r>
      <w:r w:rsidRPr="0008291E">
        <w:rPr>
          <w:rFonts w:asciiTheme="majorBidi" w:hAnsiTheme="majorBidi" w:cstheme="majorBidi"/>
          <w:sz w:val="28"/>
          <w:szCs w:val="28"/>
        </w:rPr>
        <w:t>Kim</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Seo, 2013</w:t>
      </w:r>
      <w:r w:rsidRPr="0008291E">
        <w:rPr>
          <w:rFonts w:asciiTheme="majorBidi" w:hAnsiTheme="majorBidi" w:cstheme="majorBidi"/>
          <w:sz w:val="28"/>
          <w:szCs w:val="28"/>
          <w:rtl/>
        </w:rPr>
        <w:t>). فالتدفق يجعل الفرد ملتزماً بما يقوم به من مهام، ويساعده على تحقيق أهدافه بفعالية، ويزيد من مستوى طموحه ودافعه للإنجاز. كما أنه يعزز القدرة على مواجهة الصعوبات وتحمل المسؤولية، ويساعد الطالب على اتخاذ قرارات أفضل، ويقلل من مستويات الإجهاد لديه.</w:t>
      </w:r>
    </w:p>
    <w:p w14:paraId="51B47245"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ولتحقيق هذه الحالة المفيدة وتيسيرها في العملية التعليمية، يجب مراعاة شروط محددة. يتطلب ذلك وضع أهداف واضحة ومحددة وواقعية للمهام التعليمية، والعمل على تحقيق التوازن المستمر بين التحديات التي تمثلها هذه المهام ومهارات الطلاب، بالإضافة إلى ضرورة توفير تغذية راجعة فورية </w:t>
      </w:r>
      <w:r w:rsidRPr="0008291E">
        <w:rPr>
          <w:rFonts w:asciiTheme="majorBidi" w:hAnsiTheme="majorBidi" w:cstheme="majorBidi"/>
          <w:sz w:val="28"/>
          <w:szCs w:val="28"/>
          <w:rtl/>
        </w:rPr>
        <w:lastRenderedPageBreak/>
        <w:t>ومناسبة حول أدائهم. ومن المهم أيضاً تعديل مستوى المهارة والتحدي باستمرار للحفاظ على حالة التدفق (</w:t>
      </w:r>
      <w:r w:rsidRPr="0008291E">
        <w:rPr>
          <w:rFonts w:asciiTheme="majorBidi" w:hAnsiTheme="majorBidi" w:cstheme="majorBidi"/>
          <w:sz w:val="28"/>
          <w:szCs w:val="28"/>
        </w:rPr>
        <w:t>Nakamura</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Csikszentmihalyi, 2002</w:t>
      </w:r>
      <w:r w:rsidRPr="0008291E">
        <w:rPr>
          <w:rFonts w:asciiTheme="majorBidi" w:hAnsiTheme="majorBidi" w:cstheme="majorBidi"/>
          <w:sz w:val="28"/>
          <w:szCs w:val="28"/>
          <w:rtl/>
        </w:rPr>
        <w:t>).</w:t>
      </w:r>
    </w:p>
    <w:p w14:paraId="1290A240" w14:textId="77777777" w:rsidR="00CD469A" w:rsidRPr="0008291E" w:rsidRDefault="00CD469A" w:rsidP="00E25A67">
      <w:pPr>
        <w:pStyle w:val="Heading2"/>
        <w:bidi/>
        <w:rPr>
          <w:rFonts w:asciiTheme="majorBidi" w:hAnsiTheme="majorBidi"/>
          <w:rtl/>
        </w:rPr>
      </w:pPr>
      <w:r w:rsidRPr="0008291E">
        <w:rPr>
          <w:rFonts w:asciiTheme="majorBidi" w:hAnsiTheme="majorBidi"/>
          <w:rtl/>
        </w:rPr>
        <w:t>التدفق الذهني: أبعاده</w:t>
      </w:r>
    </w:p>
    <w:p w14:paraId="51AD3B47"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تؤكد العديد من الدراسات والأبحاث النظرية على تسعة أبعاد أساسية للتدفق الذهني، والتي تم تحديدها مبدئيًا بواسطة </w:t>
      </w:r>
      <w:r w:rsidRPr="0008291E">
        <w:rPr>
          <w:rFonts w:asciiTheme="majorBidi" w:hAnsiTheme="majorBidi" w:cstheme="majorBidi"/>
          <w:sz w:val="28"/>
          <w:szCs w:val="28"/>
        </w:rPr>
        <w:t>Csikszentmihalyi</w:t>
      </w:r>
      <w:r w:rsidRPr="0008291E">
        <w:rPr>
          <w:rFonts w:asciiTheme="majorBidi" w:hAnsiTheme="majorBidi" w:cstheme="majorBidi"/>
          <w:sz w:val="28"/>
          <w:szCs w:val="28"/>
          <w:rtl/>
        </w:rPr>
        <w:t xml:space="preserve"> (1997) وطُورت لاحقًا بواسطة </w:t>
      </w:r>
      <w:r w:rsidRPr="0008291E">
        <w:rPr>
          <w:rFonts w:asciiTheme="majorBidi" w:hAnsiTheme="majorBidi" w:cstheme="majorBidi"/>
          <w:sz w:val="28"/>
          <w:szCs w:val="28"/>
        </w:rPr>
        <w:t>Jackson</w:t>
      </w:r>
      <w:r w:rsidRPr="0008291E">
        <w:rPr>
          <w:rFonts w:asciiTheme="majorBidi" w:hAnsiTheme="majorBidi" w:cstheme="majorBidi"/>
          <w:sz w:val="28"/>
          <w:szCs w:val="28"/>
          <w:rtl/>
        </w:rPr>
        <w:t xml:space="preserve"> </w:t>
      </w:r>
      <w:proofErr w:type="gramStart"/>
      <w:r w:rsidRPr="0008291E">
        <w:rPr>
          <w:rFonts w:asciiTheme="majorBidi" w:hAnsiTheme="majorBidi" w:cstheme="majorBidi"/>
          <w:sz w:val="28"/>
          <w:szCs w:val="28"/>
          <w:rtl/>
        </w:rPr>
        <w:t xml:space="preserve">و </w:t>
      </w:r>
      <w:r w:rsidRPr="0008291E">
        <w:rPr>
          <w:rFonts w:asciiTheme="majorBidi" w:hAnsiTheme="majorBidi" w:cstheme="majorBidi"/>
          <w:sz w:val="28"/>
          <w:szCs w:val="28"/>
        </w:rPr>
        <w:t>Marsh</w:t>
      </w:r>
      <w:proofErr w:type="gramEnd"/>
      <w:r w:rsidRPr="0008291E">
        <w:rPr>
          <w:rFonts w:asciiTheme="majorBidi" w:hAnsiTheme="majorBidi" w:cstheme="majorBidi"/>
          <w:sz w:val="28"/>
          <w:szCs w:val="28"/>
          <w:rtl/>
        </w:rPr>
        <w:t xml:space="preserve"> (1996). وتُستخدم هذه الأبعاد بشكل شائع كأساس في العديد من الدراسات (مثل: أبو حلاوة، 2013؛ العبيدي، 2016؛ الرفاعي، 2018؛ </w:t>
      </w:r>
      <w:proofErr w:type="spellStart"/>
      <w:r w:rsidRPr="0008291E">
        <w:rPr>
          <w:rFonts w:asciiTheme="majorBidi" w:hAnsiTheme="majorBidi" w:cstheme="majorBidi"/>
          <w:sz w:val="28"/>
          <w:szCs w:val="28"/>
        </w:rPr>
        <w:t>Rogatko</w:t>
      </w:r>
      <w:proofErr w:type="spellEnd"/>
      <w:r w:rsidRPr="0008291E">
        <w:rPr>
          <w:rFonts w:asciiTheme="majorBidi" w:hAnsiTheme="majorBidi" w:cstheme="majorBidi"/>
          <w:sz w:val="28"/>
          <w:szCs w:val="28"/>
        </w:rPr>
        <w:t>, 2009; Straume, 2008</w:t>
      </w:r>
      <w:r w:rsidRPr="0008291E">
        <w:rPr>
          <w:rFonts w:asciiTheme="majorBidi" w:hAnsiTheme="majorBidi" w:cstheme="majorBidi"/>
          <w:sz w:val="28"/>
          <w:szCs w:val="28"/>
          <w:rtl/>
        </w:rPr>
        <w:t>).</w:t>
      </w:r>
    </w:p>
    <w:p w14:paraId="7DC7FE50"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تتعدد أبعاد التدفق الذهني لتشمل تسعة جوانب رئيسية؛ يتمثل البعد الأول في التوازن بين التحدي والمهارة، حيث يحدث التدفق الذهني عندما يكون هناك توازن بين مستوى التحدي في المهمة وقدرات الفرد. يليه اندماج الوعي بالفعل، والذي يتضمن الانغماس الكامل في النشاط الجاري، حيث يصبح الفرد جزءًا لا يتجزأ من النشاط. البعد الثالث هو فقدان الوعي بالذات، ويعني أن الشخص يركز بشكل كامل على المهمة دون الشعور بالذات أو القلق الاجتماعي. كما يعد وضوح الأهداف بعدًا رابعًا، حيث يساعد وجود أهداف واضحة ومحددة الفرد على التركيز وعدم الشك </w:t>
      </w:r>
      <w:proofErr w:type="gramStart"/>
      <w:r w:rsidRPr="0008291E">
        <w:rPr>
          <w:rFonts w:asciiTheme="majorBidi" w:hAnsiTheme="majorBidi" w:cstheme="majorBidi"/>
          <w:sz w:val="28"/>
          <w:szCs w:val="28"/>
          <w:rtl/>
        </w:rPr>
        <w:t>في ما</w:t>
      </w:r>
      <w:proofErr w:type="gramEnd"/>
      <w:r w:rsidRPr="0008291E">
        <w:rPr>
          <w:rFonts w:asciiTheme="majorBidi" w:hAnsiTheme="majorBidi" w:cstheme="majorBidi"/>
          <w:sz w:val="28"/>
          <w:szCs w:val="28"/>
          <w:rtl/>
        </w:rPr>
        <w:t xml:space="preserve"> يجب فعله. ويأتي بعد ذلك أهمية التغذية الراجعة غير المبهمة، فالحصول على ردود فعل فورية وواضحة حول الأداء يعزز الثقة ويقلل من الغموض. ويتضمن التدفق الذهني أيضًا الإحساس بالسيطرة، وهو شعور الفرد بأنه قادر على التحكم في الموقف وأفعاله ضمن النشاط. ومن السمات الجوهرية كذلك التركيز الكلي، أي التركيز الكامل على المهمة الحالية دون تشتيت للانتباه. بالإضافة إلى ذلك، يحدث تحول في الإحساس بالزمن، فقد يشعر الفرد بأن الوقت يمر بسرعة أكبر أو أبطأ من المعتاد أثناء حالة التدفق الذهني. وأخيرًا، البعد التاسع هو الاستمتاع الذاتي (خبرة ذاتية الهدف)، حيث يعتبر النشاط نفسه مجزيًا وممتعًا بحد ذاته، بغض النظر عن أي مكافآت خارجية.</w:t>
      </w:r>
    </w:p>
    <w:p w14:paraId="7C743600"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ووفقًا لـ </w:t>
      </w:r>
      <w:r w:rsidRPr="0008291E">
        <w:rPr>
          <w:rFonts w:asciiTheme="majorBidi" w:hAnsiTheme="majorBidi" w:cstheme="majorBidi"/>
          <w:sz w:val="28"/>
          <w:szCs w:val="28"/>
        </w:rPr>
        <w:t>Csikszentmihalyi</w:t>
      </w:r>
      <w:r w:rsidRPr="0008291E">
        <w:rPr>
          <w:rFonts w:asciiTheme="majorBidi" w:hAnsiTheme="majorBidi" w:cstheme="majorBidi"/>
          <w:sz w:val="28"/>
          <w:szCs w:val="28"/>
          <w:rtl/>
        </w:rPr>
        <w:t>، ليس من الضروري تحقق جميع هذه الأبعاد للوصول إلى حالة التدفق الذهني. كما يشير إلى أنه لا يمكن إجبار النفس على الدخول في حالة التدفق الذهني، ولكن يمكن تهيئة الظروف لها عبر المشاركة والانغماس الكامل في أي نشاط (</w:t>
      </w:r>
      <w:r w:rsidRPr="0008291E">
        <w:rPr>
          <w:rFonts w:asciiTheme="majorBidi" w:hAnsiTheme="majorBidi" w:cstheme="majorBidi"/>
          <w:sz w:val="28"/>
          <w:szCs w:val="28"/>
        </w:rPr>
        <w:t>Csikszentmihalyi, 2014, p. 6</w:t>
      </w:r>
      <w:r w:rsidRPr="0008291E">
        <w:rPr>
          <w:rFonts w:asciiTheme="majorBidi" w:hAnsiTheme="majorBidi" w:cstheme="majorBidi"/>
          <w:sz w:val="28"/>
          <w:szCs w:val="28"/>
          <w:rtl/>
        </w:rPr>
        <w:t>).</w:t>
      </w:r>
    </w:p>
    <w:p w14:paraId="1148906B"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وفي منظور آخر ضمن السياق العربي، حددت أباظة (2011) ثمانية أبعاد مرتبطة بالتدفق الذهني يمكن تلخيصها في: إدارة الوقت بإيجابية والشعور بالمسؤولية، تحديد الأهداف بدقة، مستوى النشاط العالي والعمل الجاد، الاندماج الكامل في العمل، تركيز الانتباه ومواجهة التحديات بثقة، نسيان الذات والزمان والمكان، الشعور بالمتعة والدافعية، والأداء التلقائي مع القدرة على اتخاذ القرارات وإجراء التعديلات.</w:t>
      </w:r>
    </w:p>
    <w:p w14:paraId="27D91A6F" w14:textId="77777777" w:rsidR="00CD469A" w:rsidRPr="0008291E" w:rsidRDefault="00CD469A" w:rsidP="00E25A67">
      <w:pPr>
        <w:bidi/>
        <w:ind w:left="720" w:firstLine="720"/>
        <w:jc w:val="both"/>
        <w:rPr>
          <w:rFonts w:asciiTheme="majorBidi" w:hAnsiTheme="majorBidi" w:cstheme="majorBidi"/>
          <w:sz w:val="28"/>
          <w:szCs w:val="28"/>
          <w:rtl/>
        </w:rPr>
      </w:pPr>
      <w:proofErr w:type="gramStart"/>
      <w:r w:rsidRPr="0008291E">
        <w:rPr>
          <w:rFonts w:asciiTheme="majorBidi" w:hAnsiTheme="majorBidi" w:cstheme="majorBidi"/>
          <w:sz w:val="28"/>
          <w:szCs w:val="28"/>
          <w:rtl/>
        </w:rPr>
        <w:t xml:space="preserve">و </w:t>
      </w:r>
      <w:r w:rsidRPr="0008291E">
        <w:rPr>
          <w:rFonts w:asciiTheme="majorBidi" w:hAnsiTheme="majorBidi" w:cstheme="majorBidi"/>
          <w:b/>
          <w:bCs/>
          <w:sz w:val="28"/>
          <w:szCs w:val="28"/>
          <w:rtl/>
        </w:rPr>
        <w:t>سوف</w:t>
      </w:r>
      <w:proofErr w:type="gramEnd"/>
      <w:r w:rsidRPr="0008291E">
        <w:rPr>
          <w:rFonts w:asciiTheme="majorBidi" w:hAnsiTheme="majorBidi" w:cstheme="majorBidi"/>
          <w:b/>
          <w:bCs/>
          <w:sz w:val="28"/>
          <w:szCs w:val="28"/>
          <w:rtl/>
        </w:rPr>
        <w:t xml:space="preserve"> يتبنى البحث الحالي نموذج الأبعاد الثمانية للتدفق الذهني الذي طورته أباظة</w:t>
      </w:r>
      <w:r w:rsidRPr="0008291E">
        <w:rPr>
          <w:rFonts w:asciiTheme="majorBidi" w:hAnsiTheme="majorBidi" w:cstheme="majorBidi"/>
          <w:b/>
          <w:bCs/>
          <w:sz w:val="28"/>
          <w:szCs w:val="28"/>
        </w:rPr>
        <w:t xml:space="preserve"> (2011)</w:t>
      </w:r>
      <w:r w:rsidRPr="0008291E">
        <w:rPr>
          <w:rFonts w:asciiTheme="majorBidi" w:hAnsiTheme="majorBidi" w:cstheme="majorBidi"/>
          <w:sz w:val="28"/>
          <w:szCs w:val="28"/>
        </w:rPr>
        <w:t xml:space="preserve">. </w:t>
      </w:r>
      <w:r w:rsidRPr="0008291E">
        <w:rPr>
          <w:rFonts w:asciiTheme="majorBidi" w:hAnsiTheme="majorBidi" w:cstheme="majorBidi"/>
          <w:sz w:val="28"/>
          <w:szCs w:val="28"/>
          <w:rtl/>
        </w:rPr>
        <w:t>وعليه، ستركز أدوات الدراسة على قياس هذه الأبعاد مجتمعة، وهي</w:t>
      </w:r>
      <w:r w:rsidRPr="0008291E">
        <w:rPr>
          <w:rFonts w:asciiTheme="majorBidi" w:hAnsiTheme="majorBidi" w:cstheme="majorBidi"/>
          <w:sz w:val="28"/>
          <w:szCs w:val="28"/>
        </w:rPr>
        <w:t xml:space="preserve">: </w:t>
      </w:r>
      <w:r w:rsidRPr="0008291E">
        <w:rPr>
          <w:rFonts w:asciiTheme="majorBidi" w:hAnsiTheme="majorBidi" w:cstheme="majorBidi"/>
          <w:b/>
          <w:bCs/>
          <w:sz w:val="28"/>
          <w:szCs w:val="28"/>
          <w:rtl/>
        </w:rPr>
        <w:t xml:space="preserve">إدارة الوقت بإيجابية والشعور بالمسؤولية، تحديد الأهداف بدقة، مستوى النشاط العالي والعمل الجاد، الاندماج الكامل في </w:t>
      </w:r>
      <w:r w:rsidRPr="0008291E">
        <w:rPr>
          <w:rFonts w:asciiTheme="majorBidi" w:hAnsiTheme="majorBidi" w:cstheme="majorBidi"/>
          <w:b/>
          <w:bCs/>
          <w:sz w:val="28"/>
          <w:szCs w:val="28"/>
          <w:rtl/>
        </w:rPr>
        <w:lastRenderedPageBreak/>
        <w:t>العمل، تركيز الانتباه ومواجهة التحديات بثقة، نسيان الذات والزمان والمكان، الشعور بالمتعة والدافعية، والأداء التلقائي مع القدرة على اتخاذ القرارات وإجراء التعديلات</w:t>
      </w:r>
      <w:r w:rsidRPr="0008291E">
        <w:rPr>
          <w:rFonts w:asciiTheme="majorBidi" w:hAnsiTheme="majorBidi" w:cstheme="majorBidi"/>
          <w:sz w:val="28"/>
          <w:szCs w:val="28"/>
        </w:rPr>
        <w:t xml:space="preserve">. </w:t>
      </w:r>
      <w:r w:rsidRPr="0008291E">
        <w:rPr>
          <w:rFonts w:asciiTheme="majorBidi" w:hAnsiTheme="majorBidi" w:cstheme="majorBidi"/>
          <w:sz w:val="28"/>
          <w:szCs w:val="28"/>
          <w:rtl/>
        </w:rPr>
        <w:t xml:space="preserve">ويأتي هذا الاعتماد على نموذج </w:t>
      </w:r>
      <w:r w:rsidRPr="0008291E">
        <w:rPr>
          <w:rFonts w:asciiTheme="majorBidi" w:hAnsiTheme="majorBidi" w:cstheme="majorBidi"/>
          <w:b/>
          <w:bCs/>
          <w:sz w:val="28"/>
          <w:szCs w:val="28"/>
          <w:rtl/>
        </w:rPr>
        <w:t>أباظة</w:t>
      </w:r>
      <w:r w:rsidRPr="0008291E">
        <w:rPr>
          <w:rFonts w:asciiTheme="majorBidi" w:hAnsiTheme="majorBidi" w:cstheme="majorBidi"/>
          <w:b/>
          <w:bCs/>
          <w:sz w:val="28"/>
          <w:szCs w:val="28"/>
        </w:rPr>
        <w:t xml:space="preserve"> (2011)</w:t>
      </w:r>
      <w:r w:rsidRPr="0008291E">
        <w:rPr>
          <w:rFonts w:asciiTheme="majorBidi" w:hAnsiTheme="majorBidi" w:cstheme="majorBidi"/>
          <w:sz w:val="28"/>
          <w:szCs w:val="28"/>
        </w:rPr>
        <w:t xml:space="preserve"> </w:t>
      </w:r>
      <w:r w:rsidRPr="0008291E">
        <w:rPr>
          <w:rFonts w:asciiTheme="majorBidi" w:hAnsiTheme="majorBidi" w:cstheme="majorBidi"/>
          <w:sz w:val="28"/>
          <w:szCs w:val="28"/>
          <w:rtl/>
        </w:rPr>
        <w:t>نظراً لتفصيله وتركيزه على الجوانب السلوكية والمعرفية والوجدانية المتكاملة للتدفق.</w:t>
      </w:r>
    </w:p>
    <w:p w14:paraId="4ED7EBB1" w14:textId="77777777" w:rsidR="00CD469A" w:rsidRPr="0008291E" w:rsidRDefault="00CD469A" w:rsidP="00E25A67">
      <w:pPr>
        <w:pStyle w:val="Heading2"/>
        <w:bidi/>
        <w:rPr>
          <w:rFonts w:asciiTheme="majorBidi" w:hAnsiTheme="majorBidi"/>
          <w:rtl/>
        </w:rPr>
      </w:pPr>
      <w:r w:rsidRPr="0008291E">
        <w:rPr>
          <w:rFonts w:asciiTheme="majorBidi" w:hAnsiTheme="majorBidi"/>
          <w:rtl/>
        </w:rPr>
        <w:t>الشروط اللازمة لحدوث التدفق الذهني</w:t>
      </w:r>
    </w:p>
    <w:p w14:paraId="4C79B732"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وفقًا لعدد من الباحثين (مثل </w:t>
      </w:r>
      <w:r w:rsidRPr="0008291E">
        <w:rPr>
          <w:rFonts w:asciiTheme="majorBidi" w:hAnsiTheme="majorBidi" w:cstheme="majorBidi"/>
          <w:sz w:val="28"/>
          <w:szCs w:val="28"/>
        </w:rPr>
        <w:t>Lemay, 2011; Reid, 2007</w:t>
      </w:r>
      <w:r w:rsidRPr="0008291E">
        <w:rPr>
          <w:rFonts w:asciiTheme="majorBidi" w:hAnsiTheme="majorBidi" w:cstheme="majorBidi"/>
          <w:sz w:val="28"/>
          <w:szCs w:val="28"/>
          <w:rtl/>
        </w:rPr>
        <w:t>)، فإن هناك شروطًا أساسية يجب توافرها في البيئة أو النشاط لتسهيل حدوث التدفق الذهني. أول هذه الشروط هو وجود أهداف واضحة، حيث يجب أن يكون لدى الفرد أهداف محددة وواضحة وأن يكون على دراية بكيفية تحقيقها. الشرط الثاني يتمثل في التغذية المرتدة الفورية، إذ يجب أن يتلقى الفرد ردود فعل فورية ومباشرة حول أدائه لتقييم مدى نجاحه أو حاجته لتعديل أفعاله. أما الشرط الثالث والأساسي فهو الموازنة بين التحديات والمهارات، حيث يحدث التدفق الذهني بشكل أمثل عندما يكون هناك توافق وتوازن بين مستوى التحدي الذي يفرضه النشاط وقدرات ومهارات الفرد.</w:t>
      </w:r>
    </w:p>
    <w:p w14:paraId="7475E775" w14:textId="77777777" w:rsidR="00CD469A" w:rsidRPr="0008291E" w:rsidRDefault="00CD469A" w:rsidP="00E25A67">
      <w:pPr>
        <w:pStyle w:val="Heading2"/>
        <w:bidi/>
        <w:rPr>
          <w:rFonts w:asciiTheme="majorBidi" w:hAnsiTheme="majorBidi"/>
          <w:rtl/>
        </w:rPr>
      </w:pPr>
      <w:r w:rsidRPr="0008291E">
        <w:rPr>
          <w:rFonts w:asciiTheme="majorBidi" w:hAnsiTheme="majorBidi"/>
          <w:rtl/>
        </w:rPr>
        <w:t>العلاقة بين التدفق الذهني ونمط حشد المصادر وزمنه</w:t>
      </w:r>
    </w:p>
    <w:p w14:paraId="6A3D5BBA"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تُعد بيئات التعلم الإلكترونية القائمة على حشد المصادر أرضًا خصبة لتحقيق التدفق الذهني، وذلك لقدرتها على توفير أهداف واضحة ومحددة للمتعلمين. حيث يُعرّف خميس (2020) حشد المصادر بأنه نشاط تعاوني يهدف إلى "معالجة مشكلة معقدة أو إنجاز مهمة تتطلب جهودًا متعددة". هذا التحديد الواضح للمهام والأهداف يتوافق بشكل مباشر مع أحد الشروط الأساسية للتدفق الذهني، وهو "وضع أهداف واضحة ومحددة وواقعية" (</w:t>
      </w:r>
      <w:r w:rsidRPr="0008291E">
        <w:rPr>
          <w:rFonts w:asciiTheme="majorBidi" w:hAnsiTheme="majorBidi" w:cstheme="majorBidi"/>
          <w:sz w:val="28"/>
          <w:szCs w:val="28"/>
        </w:rPr>
        <w:t>Nakamura</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Csikszentmihalyi, 2002</w:t>
      </w:r>
      <w:r w:rsidRPr="0008291E">
        <w:rPr>
          <w:rFonts w:asciiTheme="majorBidi" w:hAnsiTheme="majorBidi" w:cstheme="majorBidi"/>
          <w:sz w:val="28"/>
          <w:szCs w:val="28"/>
          <w:rtl/>
        </w:rPr>
        <w:t>). بالإضافة إلى ذلك، فإن طبيعة مهام حشد المصادر، سواء كانت تنافسية أو تشاركية، تقدم تحديات للمتعلمين. ففي دراسة حسن (2021)، تبين أن أنماط حشد المصادر المختلفة تؤثر على تنمية مهارات البحث العلمي، مما يشير إلى وجود تحدي معرفي ومهاري يتطلب تركيزًا وانخراطًا. وبالتالي، فإن تصميم مهام حشد المصادر بشكل يتناسب مع قدرات المتعلمين يساهم في خلق التوازن المطلوب بين التحدي والمهارة، وهو شرط أساسي آخر لتحقيق حالة التدفق الذهني (</w:t>
      </w:r>
      <w:r w:rsidRPr="0008291E">
        <w:rPr>
          <w:rFonts w:asciiTheme="majorBidi" w:hAnsiTheme="majorBidi" w:cstheme="majorBidi"/>
          <w:sz w:val="28"/>
          <w:szCs w:val="28"/>
        </w:rPr>
        <w:t>Csikszentmihalyi</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Abuhamdeh, 2012</w:t>
      </w:r>
      <w:r w:rsidRPr="0008291E">
        <w:rPr>
          <w:rFonts w:asciiTheme="majorBidi" w:hAnsiTheme="majorBidi" w:cstheme="majorBidi"/>
          <w:sz w:val="28"/>
          <w:szCs w:val="28"/>
          <w:rtl/>
        </w:rPr>
        <w:t>).</w:t>
      </w:r>
    </w:p>
    <w:p w14:paraId="4EF4E1E2"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إن طبيعة مهام حشد المصادر نفسها تدفع المتعلمين إلى الانخراط والتركيز العميق، مما يساهم بشكل كبير في تحقيق التدفق الذهني. فكون حشد المصادر "نشاط تعاوني يتم عبر الإنترنت" يتطلب من المشاركين توجيه طاقاتهم الذهنية لحل المشكلات أو إنجاز المهام (خميس، 2020). وقد أظهرت دراسة محمد وآخرون (2023) فعالية بيئات التعلم الإلكتروني القائمة على حشد المصادر في تنمية مهارات حل المشكلات لدى الطلاب. هذا الانخراط المطلوب في حل المشكلات يتطلب تركيزًا شديدًا، وهو ما يتوافق مع تعريف التدفق الذهني بأنه حالة "يندمج فيها الفرد بشكل كامل في أداء المهام، موجهًا أقصى درجات الانتباه والوعي لتحقيقها" (أباظة، 2011).</w:t>
      </w:r>
    </w:p>
    <w:p w14:paraId="238A89D9"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lastRenderedPageBreak/>
        <w:t xml:space="preserve">ويُعد عامل الزمن متغيرًا مهمًا أيضًا في العلاقة بين حشد المصادر والتدفق الذهني. فقد أكدت دراسة </w:t>
      </w:r>
      <w:r w:rsidRPr="0008291E">
        <w:rPr>
          <w:rFonts w:asciiTheme="majorBidi" w:hAnsiTheme="majorBidi" w:cstheme="majorBidi"/>
          <w:sz w:val="28"/>
          <w:szCs w:val="28"/>
        </w:rPr>
        <w:t>Yang</w:t>
      </w:r>
      <w:r w:rsidRPr="0008291E">
        <w:rPr>
          <w:rFonts w:asciiTheme="majorBidi" w:hAnsiTheme="majorBidi" w:cstheme="majorBidi"/>
          <w:sz w:val="28"/>
          <w:szCs w:val="28"/>
          <w:rtl/>
        </w:rPr>
        <w:t xml:space="preserve"> (2019) على أن الزمن يُعتبر "عاملًا جوهريًا في المسابقات الإلكترونية لحشد المصادر"، وأن الوقت المخصص يعبر عن الجهد والالتزام. ويتفق هذا مع أهمية "التركيز في اللحظة الحالية" كأحد مكونات التدفق الذهني (</w:t>
      </w:r>
      <w:r w:rsidRPr="0008291E">
        <w:rPr>
          <w:rFonts w:asciiTheme="majorBidi" w:hAnsiTheme="majorBidi" w:cstheme="majorBidi"/>
          <w:sz w:val="28"/>
          <w:szCs w:val="28"/>
        </w:rPr>
        <w:t>Nakamura</w:t>
      </w:r>
      <w:r w:rsidRPr="0008291E">
        <w:rPr>
          <w:rFonts w:asciiTheme="majorBidi" w:hAnsiTheme="majorBidi" w:cstheme="majorBidi"/>
          <w:sz w:val="28"/>
          <w:szCs w:val="28"/>
          <w:rtl/>
        </w:rPr>
        <w:t xml:space="preserve"> &amp; </w:t>
      </w:r>
      <w:r w:rsidRPr="0008291E">
        <w:rPr>
          <w:rFonts w:asciiTheme="majorBidi" w:hAnsiTheme="majorBidi" w:cstheme="majorBidi"/>
          <w:sz w:val="28"/>
          <w:szCs w:val="28"/>
        </w:rPr>
        <w:t>Csikszentmihalyi, 2001</w:t>
      </w:r>
      <w:r w:rsidRPr="0008291E">
        <w:rPr>
          <w:rFonts w:asciiTheme="majorBidi" w:hAnsiTheme="majorBidi" w:cstheme="majorBidi"/>
          <w:sz w:val="28"/>
          <w:szCs w:val="28"/>
          <w:rtl/>
        </w:rPr>
        <w:t xml:space="preserve">). كما أشارت دراسة </w:t>
      </w:r>
      <w:r w:rsidRPr="0008291E">
        <w:rPr>
          <w:rFonts w:asciiTheme="majorBidi" w:hAnsiTheme="majorBidi" w:cstheme="majorBidi"/>
          <w:sz w:val="28"/>
          <w:szCs w:val="28"/>
        </w:rPr>
        <w:t>Schmitz (2018</w:t>
      </w:r>
      <w:r w:rsidRPr="0008291E">
        <w:rPr>
          <w:rFonts w:asciiTheme="majorBidi" w:hAnsiTheme="majorBidi" w:cstheme="majorBidi"/>
          <w:sz w:val="28"/>
          <w:szCs w:val="28"/>
          <w:rtl/>
        </w:rPr>
        <w:t>) إلى تحسن الأداء في المهام المعقدة عند التقيد بعامل الزمن. وبالتالي، فإن تحديد إطار زمني مناسب لمهام حشد المصادر يمكن أن يساعد المتعلمين على تركيز جهودهم وتكريس انتباههم لإنجاز المهمة، مما يزيد من احتمالية دخولهم في حالة التدفق الذهني.</w:t>
      </w:r>
    </w:p>
    <w:p w14:paraId="14D70F25"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علاوة على ذلك، تتضمن تجربة التدفق الذهني التي يمكن تحقيقها عبر حشد المصادر أبعادًا أخرى كالإبداع والانغماس الكامل. فيمكن لبيئات حشد المصادر أن تعزز الأداء الإبداعي من خلال توفير مجموعة متنوعة من وجهات النظر والأفكار، حيث تهدف بعض المنصات، مثل "</w:t>
      </w:r>
      <w:proofErr w:type="spellStart"/>
      <w:r w:rsidRPr="0008291E">
        <w:rPr>
          <w:rFonts w:asciiTheme="majorBidi" w:hAnsiTheme="majorBidi" w:cstheme="majorBidi"/>
          <w:sz w:val="28"/>
          <w:szCs w:val="28"/>
        </w:rPr>
        <w:t>CreativeWall</w:t>
      </w:r>
      <w:proofErr w:type="spellEnd"/>
      <w:r w:rsidRPr="0008291E">
        <w:rPr>
          <w:rFonts w:asciiTheme="majorBidi" w:hAnsiTheme="majorBidi" w:cstheme="majorBidi"/>
          <w:sz w:val="28"/>
          <w:szCs w:val="28"/>
          <w:rtl/>
        </w:rPr>
        <w:t>"، إلى مساعدة المستخدمين على تحفيز إبداعهم عبر محفزات بصرية أو نصية (</w:t>
      </w:r>
      <w:r w:rsidRPr="0008291E">
        <w:rPr>
          <w:rFonts w:asciiTheme="majorBidi" w:hAnsiTheme="majorBidi" w:cstheme="majorBidi"/>
          <w:sz w:val="28"/>
          <w:szCs w:val="28"/>
        </w:rPr>
        <w:t>Morris et al., 2013</w:t>
      </w:r>
      <w:r w:rsidRPr="0008291E">
        <w:rPr>
          <w:rFonts w:asciiTheme="majorBidi" w:hAnsiTheme="majorBidi" w:cstheme="majorBidi"/>
          <w:sz w:val="28"/>
          <w:szCs w:val="28"/>
          <w:rtl/>
        </w:rPr>
        <w:t xml:space="preserve">). ويتماشى هذا مع تأكيد </w:t>
      </w:r>
      <w:r w:rsidRPr="0008291E">
        <w:rPr>
          <w:rFonts w:asciiTheme="majorBidi" w:hAnsiTheme="majorBidi" w:cstheme="majorBidi"/>
          <w:sz w:val="28"/>
          <w:szCs w:val="28"/>
        </w:rPr>
        <w:t>Csikszentmihalyi</w:t>
      </w:r>
      <w:r w:rsidRPr="0008291E">
        <w:rPr>
          <w:rFonts w:asciiTheme="majorBidi" w:hAnsiTheme="majorBidi" w:cstheme="majorBidi"/>
          <w:sz w:val="28"/>
          <w:szCs w:val="28"/>
          <w:rtl/>
        </w:rPr>
        <w:t xml:space="preserve"> (سنة المصدر؟) [ملاحظة: يجب إضافة سنة المصدر الصحيحة وتفاصيله هنا] على أن الإبداع يعد مكونًا أساسيًا لخبرة التدفق الذهني، التي تتميز بالانغماس الكامل والبهجة. كما أن الانغماس العميق في مهام حشد المصادر قد يؤدي إلى بعض الخصائص المميزة للتدفق الذهني مثل "نسيان الذات والزمان والمكان أثناء العمل" (أباظة، 2011). وتدعم هذا ملاحظات بحثية حول منصات حشد المصادر، حيث لوحظ أن استخدام منصات مثل "</w:t>
      </w:r>
      <w:proofErr w:type="spellStart"/>
      <w:r w:rsidRPr="0008291E">
        <w:rPr>
          <w:rFonts w:asciiTheme="majorBidi" w:hAnsiTheme="majorBidi" w:cstheme="majorBidi"/>
          <w:sz w:val="28"/>
          <w:szCs w:val="28"/>
        </w:rPr>
        <w:t>CreativeWall</w:t>
      </w:r>
      <w:proofErr w:type="spellEnd"/>
      <w:r w:rsidRPr="0008291E">
        <w:rPr>
          <w:rFonts w:asciiTheme="majorBidi" w:hAnsiTheme="majorBidi" w:cstheme="majorBidi"/>
          <w:sz w:val="28"/>
          <w:szCs w:val="28"/>
          <w:rtl/>
        </w:rPr>
        <w:t>" قد يجعل المستخدمين يفقدون الإحساس بالوقت بشكل متكرر (</w:t>
      </w:r>
      <w:r w:rsidRPr="0008291E">
        <w:rPr>
          <w:rFonts w:asciiTheme="majorBidi" w:hAnsiTheme="majorBidi" w:cstheme="majorBidi"/>
          <w:sz w:val="28"/>
          <w:szCs w:val="28"/>
        </w:rPr>
        <w:t>Morris et al., 2013</w:t>
      </w:r>
      <w:r w:rsidRPr="0008291E">
        <w:rPr>
          <w:rFonts w:asciiTheme="majorBidi" w:hAnsiTheme="majorBidi" w:cstheme="majorBidi"/>
          <w:sz w:val="28"/>
          <w:szCs w:val="28"/>
          <w:rtl/>
        </w:rPr>
        <w:t>).</w:t>
      </w:r>
    </w:p>
    <w:p w14:paraId="196CB298"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نمط حشد المصادر التنافسي بأنه يعتمد على "تنافس المشاركين في إنجاز المهام المطلوبة" (محمد عطية خميس، ٢٠٢٠)، وأن التنافس بين الفرق "يُسهم في تحفيز كل فريق لتقديم أفضل حل ممكن" (</w:t>
      </w:r>
      <w:proofErr w:type="spellStart"/>
      <w:r w:rsidRPr="0008291E">
        <w:rPr>
          <w:rFonts w:asciiTheme="majorBidi" w:hAnsiTheme="majorBidi" w:cstheme="majorBidi"/>
          <w:sz w:val="28"/>
          <w:szCs w:val="28"/>
        </w:rPr>
        <w:t>Morschheuser</w:t>
      </w:r>
      <w:proofErr w:type="spellEnd"/>
      <w:r w:rsidRPr="0008291E">
        <w:rPr>
          <w:rFonts w:asciiTheme="majorBidi" w:hAnsiTheme="majorBidi" w:cstheme="majorBidi"/>
          <w:sz w:val="28"/>
          <w:szCs w:val="28"/>
        </w:rPr>
        <w:t>, Hamari, &amp; Maedche, 2019</w:t>
      </w:r>
      <w:r w:rsidRPr="0008291E">
        <w:rPr>
          <w:rFonts w:asciiTheme="majorBidi" w:hAnsiTheme="majorBidi" w:cstheme="majorBidi"/>
          <w:sz w:val="28"/>
          <w:szCs w:val="28"/>
          <w:rtl/>
        </w:rPr>
        <w:t>). هذا التحفيز والرغبة في التفوق يمكن أن يخلق حالة من التركيز الشديد والانغماس في المهمة لدى المشاركين، وهو ما يتفق مع تعريف التدفق الذهني بأنه حالة "يندمج فيها الفرد بشكل كامل في أداء المهام، موجهًا أقصى درجات الانتباه والوعي لتحقيقها" (امال اباظة، ٢٠١١).</w:t>
      </w:r>
    </w:p>
    <w:p w14:paraId="7A0C34E0"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أن تقسيم العمل في النمط التشاركي يتيح "دقة وفعالية أكبر في التنفيذ</w:t>
      </w:r>
      <w:r w:rsidRPr="0008291E">
        <w:rPr>
          <w:rFonts w:asciiTheme="majorBidi" w:hAnsiTheme="majorBidi" w:cstheme="majorBidi"/>
          <w:sz w:val="28"/>
          <w:szCs w:val="28"/>
        </w:rPr>
        <w:t xml:space="preserve">" (Ben Amor, </w:t>
      </w:r>
      <w:proofErr w:type="spellStart"/>
      <w:r w:rsidRPr="0008291E">
        <w:rPr>
          <w:rFonts w:asciiTheme="majorBidi" w:hAnsiTheme="majorBidi" w:cstheme="majorBidi"/>
          <w:sz w:val="28"/>
          <w:szCs w:val="28"/>
        </w:rPr>
        <w:t>Ouziri</w:t>
      </w:r>
      <w:proofErr w:type="spellEnd"/>
      <w:r w:rsidRPr="0008291E">
        <w:rPr>
          <w:rFonts w:asciiTheme="majorBidi" w:hAnsiTheme="majorBidi" w:cstheme="majorBidi"/>
          <w:sz w:val="28"/>
          <w:szCs w:val="28"/>
        </w:rPr>
        <w:t xml:space="preserve">, Sahri, &amp; Karam, 2014). </w:t>
      </w:r>
      <w:r w:rsidRPr="0008291E">
        <w:rPr>
          <w:rFonts w:asciiTheme="majorBidi" w:hAnsiTheme="majorBidi" w:cstheme="majorBidi"/>
          <w:sz w:val="28"/>
          <w:szCs w:val="28"/>
          <w:rtl/>
        </w:rPr>
        <w:t>هذا السعي لتحقيق الجودة من خلال التعاون يتطلب تركيزًا وتنسيقًا بين المشاركين، مما يمكن أن يؤدي إلى حالة من الانغماس في العملية التعاونية لتحقيق الهدف المشترك</w:t>
      </w:r>
      <w:r w:rsidRPr="0008291E">
        <w:rPr>
          <w:rFonts w:asciiTheme="majorBidi" w:hAnsiTheme="majorBidi" w:cstheme="majorBidi"/>
          <w:sz w:val="28"/>
          <w:szCs w:val="28"/>
        </w:rPr>
        <w:t>.</w:t>
      </w:r>
    </w:p>
    <w:p w14:paraId="41557667" w14:textId="77777777" w:rsidR="00CD469A" w:rsidRPr="0008291E" w:rsidRDefault="00CD469A" w:rsidP="00E25A67">
      <w:pPr>
        <w:bidi/>
        <w:ind w:left="720" w:firstLine="720"/>
        <w:jc w:val="both"/>
        <w:rPr>
          <w:rFonts w:asciiTheme="majorBidi" w:hAnsiTheme="majorBidi" w:cstheme="majorBidi"/>
          <w:sz w:val="28"/>
          <w:szCs w:val="28"/>
          <w:rtl/>
        </w:rPr>
      </w:pPr>
    </w:p>
    <w:p w14:paraId="06AC1F2B" w14:textId="77777777" w:rsidR="00CD469A" w:rsidRPr="0008291E" w:rsidRDefault="00CD469A" w:rsidP="00E25A67">
      <w:pPr>
        <w:bidi/>
        <w:ind w:left="720" w:firstLine="720"/>
        <w:jc w:val="both"/>
        <w:rPr>
          <w:rFonts w:asciiTheme="majorBidi" w:hAnsiTheme="majorBidi" w:cstheme="majorBidi"/>
          <w:sz w:val="28"/>
          <w:szCs w:val="28"/>
          <w:rtl/>
        </w:rPr>
      </w:pPr>
      <w:r w:rsidRPr="0008291E">
        <w:rPr>
          <w:rFonts w:asciiTheme="majorBidi" w:hAnsiTheme="majorBidi" w:cstheme="majorBidi"/>
          <w:sz w:val="28"/>
          <w:szCs w:val="28"/>
          <w:rtl/>
        </w:rPr>
        <w:t xml:space="preserve">يتضح مما سبق أن العلاقة بين حشد المصادر والتدفق الذهني متعددة الأوجه؛ فمن خلال توفير أهداف واضحة، وتحديات متوازنة مع المهارات، ومتطلبات تركيز عالية، وأطر زمنية محددة، يمكن لبيئات حشد المصادر أن تمثل محفزًا قويًا للدخول في حالة التدفق الذهني بما تتضمنه من انغماس </w:t>
      </w:r>
      <w:r w:rsidRPr="0008291E">
        <w:rPr>
          <w:rFonts w:asciiTheme="majorBidi" w:hAnsiTheme="majorBidi" w:cstheme="majorBidi"/>
          <w:sz w:val="28"/>
          <w:szCs w:val="28"/>
          <w:rtl/>
        </w:rPr>
        <w:lastRenderedPageBreak/>
        <w:t>وتركيز وإبداع محتمل. ويشير هذا إلى أهمية تصميم أنشطة حشد المصادر التعليمية بشكل يراعي هذه العوامل لتعزيز تجربة تعلم فعالة وممتعة.</w:t>
      </w:r>
    </w:p>
    <w:p w14:paraId="5BED3B8A" w14:textId="008D63FD" w:rsidR="00F918E8" w:rsidRPr="0008291E" w:rsidRDefault="00F918E8" w:rsidP="00A22AFB">
      <w:pPr>
        <w:bidi/>
        <w:ind w:left="720" w:firstLine="720"/>
        <w:rPr>
          <w:rFonts w:asciiTheme="majorBidi" w:hAnsiTheme="majorBidi" w:cstheme="majorBidi"/>
          <w:sz w:val="28"/>
          <w:szCs w:val="28"/>
          <w:rtl/>
        </w:rPr>
      </w:pPr>
    </w:p>
    <w:sectPr w:rsidR="00F918E8" w:rsidRPr="0008291E">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اسلام محمد عبدالنبى احمد الدبركى" w:date="2025-04-21T18:30:00Z" w:initials="اا">
    <w:p w14:paraId="6B731C65" w14:textId="77777777" w:rsidR="005642FB" w:rsidRDefault="005642FB" w:rsidP="005642FB">
      <w:pPr>
        <w:pStyle w:val="CommentText"/>
      </w:pPr>
      <w:r>
        <w:rPr>
          <w:rStyle w:val="CommentReference"/>
        </w:rPr>
        <w:annotationRef/>
      </w:r>
      <w:hyperlink r:id="rId1" w:history="1">
        <w:r w:rsidRPr="002C1031">
          <w:rPr>
            <w:rStyle w:val="Hyperlink"/>
          </w:rPr>
          <w:t>https://docs.google.com/document/d/1MzAo43cLFg3-kQc4RoIlYTG6DIdrOQdLojLX9EZXZAM/edit?tab=t.0</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31C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0132A1" w16cex:dateUtc="2025-04-21T1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31C65" w16cid:durableId="400132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9DDE9" w14:textId="77777777" w:rsidR="00EB58ED" w:rsidRDefault="00EB58ED" w:rsidP="00283757">
      <w:pPr>
        <w:spacing w:after="0" w:line="240" w:lineRule="auto"/>
      </w:pPr>
      <w:r>
        <w:separator/>
      </w:r>
    </w:p>
  </w:endnote>
  <w:endnote w:type="continuationSeparator" w:id="0">
    <w:p w14:paraId="1C49B2CE" w14:textId="77777777" w:rsidR="00EB58ED" w:rsidRDefault="00EB58ED" w:rsidP="00283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14480"/>
      <w:docPartObj>
        <w:docPartGallery w:val="Page Numbers (Bottom of Page)"/>
        <w:docPartUnique/>
      </w:docPartObj>
    </w:sdtPr>
    <w:sdtEndPr>
      <w:rPr>
        <w:noProof/>
      </w:rPr>
    </w:sdtEndPr>
    <w:sdtContent>
      <w:p w14:paraId="724F3088" w14:textId="6CB4E1DE" w:rsidR="00283757" w:rsidRDefault="002837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5EF206" w14:textId="77777777" w:rsidR="00283757" w:rsidRDefault="00283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82309" w14:textId="77777777" w:rsidR="00EB58ED" w:rsidRDefault="00EB58ED" w:rsidP="00283757">
      <w:pPr>
        <w:spacing w:after="0" w:line="240" w:lineRule="auto"/>
      </w:pPr>
      <w:r>
        <w:separator/>
      </w:r>
    </w:p>
  </w:footnote>
  <w:footnote w:type="continuationSeparator" w:id="0">
    <w:p w14:paraId="2DBCFA68" w14:textId="77777777" w:rsidR="00EB58ED" w:rsidRDefault="00EB58ED" w:rsidP="002837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526"/>
    <w:multiLevelType w:val="hybridMultilevel"/>
    <w:tmpl w:val="5A0AA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E55FB0"/>
    <w:multiLevelType w:val="multilevel"/>
    <w:tmpl w:val="64F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F4763"/>
    <w:multiLevelType w:val="multilevel"/>
    <w:tmpl w:val="DDC2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F66F4"/>
    <w:multiLevelType w:val="hybridMultilevel"/>
    <w:tmpl w:val="D1FC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75561"/>
    <w:multiLevelType w:val="multilevel"/>
    <w:tmpl w:val="803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52ACE"/>
    <w:multiLevelType w:val="multilevel"/>
    <w:tmpl w:val="A20E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35C6B"/>
    <w:multiLevelType w:val="multilevel"/>
    <w:tmpl w:val="5E42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63020"/>
    <w:multiLevelType w:val="multilevel"/>
    <w:tmpl w:val="CA36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560DF"/>
    <w:multiLevelType w:val="multilevel"/>
    <w:tmpl w:val="31C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E1D1B"/>
    <w:multiLevelType w:val="multilevel"/>
    <w:tmpl w:val="A822C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3934">
    <w:abstractNumId w:val="8"/>
  </w:num>
  <w:num w:numId="2" w16cid:durableId="1127621863">
    <w:abstractNumId w:val="6"/>
  </w:num>
  <w:num w:numId="3" w16cid:durableId="839857995">
    <w:abstractNumId w:val="1"/>
  </w:num>
  <w:num w:numId="4" w16cid:durableId="1171259657">
    <w:abstractNumId w:val="9"/>
  </w:num>
  <w:num w:numId="5" w16cid:durableId="1051152559">
    <w:abstractNumId w:val="3"/>
  </w:num>
  <w:num w:numId="6" w16cid:durableId="658312074">
    <w:abstractNumId w:val="4"/>
  </w:num>
  <w:num w:numId="7" w16cid:durableId="214198049">
    <w:abstractNumId w:val="5"/>
  </w:num>
  <w:num w:numId="8" w16cid:durableId="1792048380">
    <w:abstractNumId w:val="7"/>
  </w:num>
  <w:num w:numId="9" w16cid:durableId="611084811">
    <w:abstractNumId w:val="2"/>
  </w:num>
  <w:num w:numId="10" w16cid:durableId="9347546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اسلام محمد عبدالنبى احمد الدبركى">
    <w15:presenceInfo w15:providerId="AD" w15:userId="S::12322020467232@pg.cu.edu.eg::c051efd5-5fa6-483e-a8c9-e77b87b794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684"/>
    <w:rsid w:val="00010D3F"/>
    <w:rsid w:val="00011B4C"/>
    <w:rsid w:val="00044F66"/>
    <w:rsid w:val="00053328"/>
    <w:rsid w:val="0008291E"/>
    <w:rsid w:val="00082D6B"/>
    <w:rsid w:val="000B5FF0"/>
    <w:rsid w:val="000C4B7B"/>
    <w:rsid w:val="000E177E"/>
    <w:rsid w:val="000E5684"/>
    <w:rsid w:val="00122409"/>
    <w:rsid w:val="0014054C"/>
    <w:rsid w:val="00161F09"/>
    <w:rsid w:val="0017194C"/>
    <w:rsid w:val="001A5CA6"/>
    <w:rsid w:val="001B4450"/>
    <w:rsid w:val="001F309A"/>
    <w:rsid w:val="002422E4"/>
    <w:rsid w:val="002455EA"/>
    <w:rsid w:val="0026370C"/>
    <w:rsid w:val="0027644D"/>
    <w:rsid w:val="00283757"/>
    <w:rsid w:val="002C6213"/>
    <w:rsid w:val="002E36CB"/>
    <w:rsid w:val="002F2538"/>
    <w:rsid w:val="00306A5E"/>
    <w:rsid w:val="00325CF0"/>
    <w:rsid w:val="0034659B"/>
    <w:rsid w:val="003540EC"/>
    <w:rsid w:val="003C784A"/>
    <w:rsid w:val="003E3232"/>
    <w:rsid w:val="003E439A"/>
    <w:rsid w:val="00417A7B"/>
    <w:rsid w:val="00437698"/>
    <w:rsid w:val="00450C19"/>
    <w:rsid w:val="00464186"/>
    <w:rsid w:val="004655C4"/>
    <w:rsid w:val="00482C79"/>
    <w:rsid w:val="004901DC"/>
    <w:rsid w:val="0049569B"/>
    <w:rsid w:val="0050264A"/>
    <w:rsid w:val="00554ACF"/>
    <w:rsid w:val="005642FB"/>
    <w:rsid w:val="00581E0A"/>
    <w:rsid w:val="0059290C"/>
    <w:rsid w:val="00593080"/>
    <w:rsid w:val="005B0892"/>
    <w:rsid w:val="005C1C6A"/>
    <w:rsid w:val="005C511F"/>
    <w:rsid w:val="005D211B"/>
    <w:rsid w:val="005D5436"/>
    <w:rsid w:val="0062554B"/>
    <w:rsid w:val="00642F1D"/>
    <w:rsid w:val="006473C1"/>
    <w:rsid w:val="0066646C"/>
    <w:rsid w:val="00686C10"/>
    <w:rsid w:val="006C6B4B"/>
    <w:rsid w:val="006D0DC9"/>
    <w:rsid w:val="00702676"/>
    <w:rsid w:val="007D1238"/>
    <w:rsid w:val="0080705A"/>
    <w:rsid w:val="00827050"/>
    <w:rsid w:val="00842E20"/>
    <w:rsid w:val="00851CF6"/>
    <w:rsid w:val="0087204C"/>
    <w:rsid w:val="0089636A"/>
    <w:rsid w:val="008968A9"/>
    <w:rsid w:val="0090487C"/>
    <w:rsid w:val="00937F6A"/>
    <w:rsid w:val="00971920"/>
    <w:rsid w:val="009906FE"/>
    <w:rsid w:val="009D2517"/>
    <w:rsid w:val="009D6EA6"/>
    <w:rsid w:val="009E150A"/>
    <w:rsid w:val="009E7996"/>
    <w:rsid w:val="00A00E44"/>
    <w:rsid w:val="00A22AFB"/>
    <w:rsid w:val="00A32489"/>
    <w:rsid w:val="00A3474A"/>
    <w:rsid w:val="00A4797C"/>
    <w:rsid w:val="00A61E88"/>
    <w:rsid w:val="00A8116C"/>
    <w:rsid w:val="00A84D15"/>
    <w:rsid w:val="00A94FC2"/>
    <w:rsid w:val="00AD331F"/>
    <w:rsid w:val="00AF63CD"/>
    <w:rsid w:val="00B04363"/>
    <w:rsid w:val="00B129B9"/>
    <w:rsid w:val="00B144D4"/>
    <w:rsid w:val="00B94EF3"/>
    <w:rsid w:val="00B959FE"/>
    <w:rsid w:val="00BC6AB5"/>
    <w:rsid w:val="00C16821"/>
    <w:rsid w:val="00C356F2"/>
    <w:rsid w:val="00C91C06"/>
    <w:rsid w:val="00CC2530"/>
    <w:rsid w:val="00CC4731"/>
    <w:rsid w:val="00CD469A"/>
    <w:rsid w:val="00CE5F6F"/>
    <w:rsid w:val="00CE67A4"/>
    <w:rsid w:val="00CF13F6"/>
    <w:rsid w:val="00D04B29"/>
    <w:rsid w:val="00D172F7"/>
    <w:rsid w:val="00D436A4"/>
    <w:rsid w:val="00D51A4C"/>
    <w:rsid w:val="00DA7949"/>
    <w:rsid w:val="00DF541A"/>
    <w:rsid w:val="00E00830"/>
    <w:rsid w:val="00E11AA6"/>
    <w:rsid w:val="00E25A67"/>
    <w:rsid w:val="00E34918"/>
    <w:rsid w:val="00E565BB"/>
    <w:rsid w:val="00EA30E5"/>
    <w:rsid w:val="00EB58ED"/>
    <w:rsid w:val="00EB5EDE"/>
    <w:rsid w:val="00EC08F2"/>
    <w:rsid w:val="00EC7B19"/>
    <w:rsid w:val="00ED0F53"/>
    <w:rsid w:val="00ED62BB"/>
    <w:rsid w:val="00F02949"/>
    <w:rsid w:val="00F50E7B"/>
    <w:rsid w:val="00F60645"/>
    <w:rsid w:val="00F918E8"/>
    <w:rsid w:val="00FA23D5"/>
    <w:rsid w:val="00FE31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43AB"/>
  <w15:chartTrackingRefBased/>
  <w15:docId w15:val="{E52AEB85-CF97-45D6-BCBF-AA4444B6A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5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5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684"/>
    <w:rPr>
      <w:rFonts w:eastAsiaTheme="majorEastAsia" w:cstheme="majorBidi"/>
      <w:color w:val="272727" w:themeColor="text1" w:themeTint="D8"/>
    </w:rPr>
  </w:style>
  <w:style w:type="paragraph" w:styleId="Title">
    <w:name w:val="Title"/>
    <w:basedOn w:val="Normal"/>
    <w:next w:val="Normal"/>
    <w:link w:val="TitleChar"/>
    <w:uiPriority w:val="10"/>
    <w:qFormat/>
    <w:rsid w:val="000E5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684"/>
    <w:pPr>
      <w:spacing w:before="160"/>
      <w:jc w:val="center"/>
    </w:pPr>
    <w:rPr>
      <w:i/>
      <w:iCs/>
      <w:color w:val="404040" w:themeColor="text1" w:themeTint="BF"/>
    </w:rPr>
  </w:style>
  <w:style w:type="character" w:customStyle="1" w:styleId="QuoteChar">
    <w:name w:val="Quote Char"/>
    <w:basedOn w:val="DefaultParagraphFont"/>
    <w:link w:val="Quote"/>
    <w:uiPriority w:val="29"/>
    <w:rsid w:val="000E5684"/>
    <w:rPr>
      <w:i/>
      <w:iCs/>
      <w:color w:val="404040" w:themeColor="text1" w:themeTint="BF"/>
    </w:rPr>
  </w:style>
  <w:style w:type="paragraph" w:styleId="ListParagraph">
    <w:name w:val="List Paragraph"/>
    <w:basedOn w:val="Normal"/>
    <w:uiPriority w:val="34"/>
    <w:qFormat/>
    <w:rsid w:val="000E5684"/>
    <w:pPr>
      <w:ind w:left="720"/>
      <w:contextualSpacing/>
    </w:pPr>
  </w:style>
  <w:style w:type="character" w:styleId="IntenseEmphasis">
    <w:name w:val="Intense Emphasis"/>
    <w:basedOn w:val="DefaultParagraphFont"/>
    <w:uiPriority w:val="21"/>
    <w:qFormat/>
    <w:rsid w:val="000E5684"/>
    <w:rPr>
      <w:i/>
      <w:iCs/>
      <w:color w:val="0F4761" w:themeColor="accent1" w:themeShade="BF"/>
    </w:rPr>
  </w:style>
  <w:style w:type="paragraph" w:styleId="IntenseQuote">
    <w:name w:val="Intense Quote"/>
    <w:basedOn w:val="Normal"/>
    <w:next w:val="Normal"/>
    <w:link w:val="IntenseQuoteChar"/>
    <w:uiPriority w:val="30"/>
    <w:qFormat/>
    <w:rsid w:val="000E5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684"/>
    <w:rPr>
      <w:i/>
      <w:iCs/>
      <w:color w:val="0F4761" w:themeColor="accent1" w:themeShade="BF"/>
    </w:rPr>
  </w:style>
  <w:style w:type="character" w:styleId="IntenseReference">
    <w:name w:val="Intense Reference"/>
    <w:basedOn w:val="DefaultParagraphFont"/>
    <w:uiPriority w:val="32"/>
    <w:qFormat/>
    <w:rsid w:val="000E5684"/>
    <w:rPr>
      <w:b/>
      <w:bCs/>
      <w:smallCaps/>
      <w:color w:val="0F4761" w:themeColor="accent1" w:themeShade="BF"/>
      <w:spacing w:val="5"/>
    </w:rPr>
  </w:style>
  <w:style w:type="character" w:styleId="Hyperlink">
    <w:name w:val="Hyperlink"/>
    <w:basedOn w:val="DefaultParagraphFont"/>
    <w:uiPriority w:val="99"/>
    <w:unhideWhenUsed/>
    <w:rsid w:val="00E34918"/>
    <w:rPr>
      <w:color w:val="467886" w:themeColor="hyperlink"/>
      <w:u w:val="single"/>
    </w:rPr>
  </w:style>
  <w:style w:type="character" w:styleId="UnresolvedMention">
    <w:name w:val="Unresolved Mention"/>
    <w:basedOn w:val="DefaultParagraphFont"/>
    <w:uiPriority w:val="99"/>
    <w:semiHidden/>
    <w:unhideWhenUsed/>
    <w:rsid w:val="00E34918"/>
    <w:rPr>
      <w:color w:val="605E5C"/>
      <w:shd w:val="clear" w:color="auto" w:fill="E1DFDD"/>
    </w:rPr>
  </w:style>
  <w:style w:type="paragraph" w:styleId="NormalWeb">
    <w:name w:val="Normal (Web)"/>
    <w:basedOn w:val="Normal"/>
    <w:uiPriority w:val="99"/>
    <w:semiHidden/>
    <w:unhideWhenUsed/>
    <w:rsid w:val="00A32489"/>
    <w:rPr>
      <w:rFonts w:ascii="Times New Roman" w:hAnsi="Times New Roman" w:cs="Times New Roman"/>
    </w:rPr>
  </w:style>
  <w:style w:type="character" w:styleId="Emphasis">
    <w:name w:val="Emphasis"/>
    <w:basedOn w:val="DefaultParagraphFont"/>
    <w:uiPriority w:val="20"/>
    <w:qFormat/>
    <w:rsid w:val="00A32489"/>
    <w:rPr>
      <w:i/>
      <w:iCs/>
    </w:rPr>
  </w:style>
  <w:style w:type="character" w:styleId="CommentReference">
    <w:name w:val="annotation reference"/>
    <w:basedOn w:val="DefaultParagraphFont"/>
    <w:uiPriority w:val="99"/>
    <w:semiHidden/>
    <w:unhideWhenUsed/>
    <w:rsid w:val="005642FB"/>
    <w:rPr>
      <w:sz w:val="16"/>
      <w:szCs w:val="16"/>
    </w:rPr>
  </w:style>
  <w:style w:type="paragraph" w:styleId="CommentText">
    <w:name w:val="annotation text"/>
    <w:basedOn w:val="Normal"/>
    <w:link w:val="CommentTextChar"/>
    <w:uiPriority w:val="99"/>
    <w:unhideWhenUsed/>
    <w:rsid w:val="005642FB"/>
    <w:pPr>
      <w:spacing w:line="240" w:lineRule="auto"/>
    </w:pPr>
    <w:rPr>
      <w:sz w:val="20"/>
      <w:szCs w:val="20"/>
    </w:rPr>
  </w:style>
  <w:style w:type="character" w:customStyle="1" w:styleId="CommentTextChar">
    <w:name w:val="Comment Text Char"/>
    <w:basedOn w:val="DefaultParagraphFont"/>
    <w:link w:val="CommentText"/>
    <w:uiPriority w:val="99"/>
    <w:rsid w:val="005642FB"/>
    <w:rPr>
      <w:sz w:val="20"/>
      <w:szCs w:val="20"/>
    </w:rPr>
  </w:style>
  <w:style w:type="paragraph" w:styleId="CommentSubject">
    <w:name w:val="annotation subject"/>
    <w:basedOn w:val="CommentText"/>
    <w:next w:val="CommentText"/>
    <w:link w:val="CommentSubjectChar"/>
    <w:uiPriority w:val="99"/>
    <w:semiHidden/>
    <w:unhideWhenUsed/>
    <w:rsid w:val="005642FB"/>
    <w:rPr>
      <w:b/>
      <w:bCs/>
    </w:rPr>
  </w:style>
  <w:style w:type="character" w:customStyle="1" w:styleId="CommentSubjectChar">
    <w:name w:val="Comment Subject Char"/>
    <w:basedOn w:val="CommentTextChar"/>
    <w:link w:val="CommentSubject"/>
    <w:uiPriority w:val="99"/>
    <w:semiHidden/>
    <w:rsid w:val="005642FB"/>
    <w:rPr>
      <w:b/>
      <w:bCs/>
      <w:sz w:val="20"/>
      <w:szCs w:val="20"/>
    </w:rPr>
  </w:style>
  <w:style w:type="paragraph" w:styleId="Header">
    <w:name w:val="header"/>
    <w:basedOn w:val="Normal"/>
    <w:link w:val="HeaderChar"/>
    <w:uiPriority w:val="99"/>
    <w:unhideWhenUsed/>
    <w:rsid w:val="00283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757"/>
  </w:style>
  <w:style w:type="paragraph" w:styleId="Footer">
    <w:name w:val="footer"/>
    <w:basedOn w:val="Normal"/>
    <w:link w:val="FooterChar"/>
    <w:uiPriority w:val="99"/>
    <w:unhideWhenUsed/>
    <w:rsid w:val="00283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9951">
      <w:bodyDiv w:val="1"/>
      <w:marLeft w:val="0"/>
      <w:marRight w:val="0"/>
      <w:marTop w:val="0"/>
      <w:marBottom w:val="0"/>
      <w:divBdr>
        <w:top w:val="none" w:sz="0" w:space="0" w:color="auto"/>
        <w:left w:val="none" w:sz="0" w:space="0" w:color="auto"/>
        <w:bottom w:val="none" w:sz="0" w:space="0" w:color="auto"/>
        <w:right w:val="none" w:sz="0" w:space="0" w:color="auto"/>
      </w:divBdr>
    </w:div>
    <w:div w:id="43602693">
      <w:bodyDiv w:val="1"/>
      <w:marLeft w:val="0"/>
      <w:marRight w:val="0"/>
      <w:marTop w:val="0"/>
      <w:marBottom w:val="0"/>
      <w:divBdr>
        <w:top w:val="none" w:sz="0" w:space="0" w:color="auto"/>
        <w:left w:val="none" w:sz="0" w:space="0" w:color="auto"/>
        <w:bottom w:val="none" w:sz="0" w:space="0" w:color="auto"/>
        <w:right w:val="none" w:sz="0" w:space="0" w:color="auto"/>
      </w:divBdr>
    </w:div>
    <w:div w:id="148063116">
      <w:bodyDiv w:val="1"/>
      <w:marLeft w:val="0"/>
      <w:marRight w:val="0"/>
      <w:marTop w:val="0"/>
      <w:marBottom w:val="0"/>
      <w:divBdr>
        <w:top w:val="none" w:sz="0" w:space="0" w:color="auto"/>
        <w:left w:val="none" w:sz="0" w:space="0" w:color="auto"/>
        <w:bottom w:val="none" w:sz="0" w:space="0" w:color="auto"/>
        <w:right w:val="none" w:sz="0" w:space="0" w:color="auto"/>
      </w:divBdr>
    </w:div>
    <w:div w:id="236332947">
      <w:bodyDiv w:val="1"/>
      <w:marLeft w:val="0"/>
      <w:marRight w:val="0"/>
      <w:marTop w:val="0"/>
      <w:marBottom w:val="0"/>
      <w:divBdr>
        <w:top w:val="none" w:sz="0" w:space="0" w:color="auto"/>
        <w:left w:val="none" w:sz="0" w:space="0" w:color="auto"/>
        <w:bottom w:val="none" w:sz="0" w:space="0" w:color="auto"/>
        <w:right w:val="none" w:sz="0" w:space="0" w:color="auto"/>
      </w:divBdr>
    </w:div>
    <w:div w:id="263999633">
      <w:bodyDiv w:val="1"/>
      <w:marLeft w:val="0"/>
      <w:marRight w:val="0"/>
      <w:marTop w:val="0"/>
      <w:marBottom w:val="0"/>
      <w:divBdr>
        <w:top w:val="none" w:sz="0" w:space="0" w:color="auto"/>
        <w:left w:val="none" w:sz="0" w:space="0" w:color="auto"/>
        <w:bottom w:val="none" w:sz="0" w:space="0" w:color="auto"/>
        <w:right w:val="none" w:sz="0" w:space="0" w:color="auto"/>
      </w:divBdr>
    </w:div>
    <w:div w:id="350110614">
      <w:bodyDiv w:val="1"/>
      <w:marLeft w:val="0"/>
      <w:marRight w:val="0"/>
      <w:marTop w:val="0"/>
      <w:marBottom w:val="0"/>
      <w:divBdr>
        <w:top w:val="none" w:sz="0" w:space="0" w:color="auto"/>
        <w:left w:val="none" w:sz="0" w:space="0" w:color="auto"/>
        <w:bottom w:val="none" w:sz="0" w:space="0" w:color="auto"/>
        <w:right w:val="none" w:sz="0" w:space="0" w:color="auto"/>
      </w:divBdr>
    </w:div>
    <w:div w:id="479733643">
      <w:bodyDiv w:val="1"/>
      <w:marLeft w:val="0"/>
      <w:marRight w:val="0"/>
      <w:marTop w:val="0"/>
      <w:marBottom w:val="0"/>
      <w:divBdr>
        <w:top w:val="none" w:sz="0" w:space="0" w:color="auto"/>
        <w:left w:val="none" w:sz="0" w:space="0" w:color="auto"/>
        <w:bottom w:val="none" w:sz="0" w:space="0" w:color="auto"/>
        <w:right w:val="none" w:sz="0" w:space="0" w:color="auto"/>
      </w:divBdr>
    </w:div>
    <w:div w:id="486363147">
      <w:bodyDiv w:val="1"/>
      <w:marLeft w:val="0"/>
      <w:marRight w:val="0"/>
      <w:marTop w:val="0"/>
      <w:marBottom w:val="0"/>
      <w:divBdr>
        <w:top w:val="none" w:sz="0" w:space="0" w:color="auto"/>
        <w:left w:val="none" w:sz="0" w:space="0" w:color="auto"/>
        <w:bottom w:val="none" w:sz="0" w:space="0" w:color="auto"/>
        <w:right w:val="none" w:sz="0" w:space="0" w:color="auto"/>
      </w:divBdr>
    </w:div>
    <w:div w:id="490411460">
      <w:bodyDiv w:val="1"/>
      <w:marLeft w:val="0"/>
      <w:marRight w:val="0"/>
      <w:marTop w:val="0"/>
      <w:marBottom w:val="0"/>
      <w:divBdr>
        <w:top w:val="none" w:sz="0" w:space="0" w:color="auto"/>
        <w:left w:val="none" w:sz="0" w:space="0" w:color="auto"/>
        <w:bottom w:val="none" w:sz="0" w:space="0" w:color="auto"/>
        <w:right w:val="none" w:sz="0" w:space="0" w:color="auto"/>
      </w:divBdr>
    </w:div>
    <w:div w:id="543252422">
      <w:bodyDiv w:val="1"/>
      <w:marLeft w:val="0"/>
      <w:marRight w:val="0"/>
      <w:marTop w:val="0"/>
      <w:marBottom w:val="0"/>
      <w:divBdr>
        <w:top w:val="none" w:sz="0" w:space="0" w:color="auto"/>
        <w:left w:val="none" w:sz="0" w:space="0" w:color="auto"/>
        <w:bottom w:val="none" w:sz="0" w:space="0" w:color="auto"/>
        <w:right w:val="none" w:sz="0" w:space="0" w:color="auto"/>
      </w:divBdr>
    </w:div>
    <w:div w:id="697048311">
      <w:bodyDiv w:val="1"/>
      <w:marLeft w:val="0"/>
      <w:marRight w:val="0"/>
      <w:marTop w:val="0"/>
      <w:marBottom w:val="0"/>
      <w:divBdr>
        <w:top w:val="none" w:sz="0" w:space="0" w:color="auto"/>
        <w:left w:val="none" w:sz="0" w:space="0" w:color="auto"/>
        <w:bottom w:val="none" w:sz="0" w:space="0" w:color="auto"/>
        <w:right w:val="none" w:sz="0" w:space="0" w:color="auto"/>
      </w:divBdr>
    </w:div>
    <w:div w:id="713391268">
      <w:bodyDiv w:val="1"/>
      <w:marLeft w:val="0"/>
      <w:marRight w:val="0"/>
      <w:marTop w:val="0"/>
      <w:marBottom w:val="0"/>
      <w:divBdr>
        <w:top w:val="none" w:sz="0" w:space="0" w:color="auto"/>
        <w:left w:val="none" w:sz="0" w:space="0" w:color="auto"/>
        <w:bottom w:val="none" w:sz="0" w:space="0" w:color="auto"/>
        <w:right w:val="none" w:sz="0" w:space="0" w:color="auto"/>
      </w:divBdr>
    </w:div>
    <w:div w:id="746070232">
      <w:bodyDiv w:val="1"/>
      <w:marLeft w:val="0"/>
      <w:marRight w:val="0"/>
      <w:marTop w:val="0"/>
      <w:marBottom w:val="0"/>
      <w:divBdr>
        <w:top w:val="none" w:sz="0" w:space="0" w:color="auto"/>
        <w:left w:val="none" w:sz="0" w:space="0" w:color="auto"/>
        <w:bottom w:val="none" w:sz="0" w:space="0" w:color="auto"/>
        <w:right w:val="none" w:sz="0" w:space="0" w:color="auto"/>
      </w:divBdr>
      <w:divsChild>
        <w:div w:id="627129726">
          <w:marLeft w:val="0"/>
          <w:marRight w:val="0"/>
          <w:marTop w:val="0"/>
          <w:marBottom w:val="0"/>
          <w:divBdr>
            <w:top w:val="none" w:sz="0" w:space="0" w:color="auto"/>
            <w:left w:val="none" w:sz="0" w:space="0" w:color="auto"/>
            <w:bottom w:val="none" w:sz="0" w:space="0" w:color="auto"/>
            <w:right w:val="none" w:sz="0" w:space="0" w:color="auto"/>
          </w:divBdr>
          <w:divsChild>
            <w:div w:id="1302031338">
              <w:marLeft w:val="0"/>
              <w:marRight w:val="0"/>
              <w:marTop w:val="0"/>
              <w:marBottom w:val="0"/>
              <w:divBdr>
                <w:top w:val="none" w:sz="0" w:space="0" w:color="auto"/>
                <w:left w:val="none" w:sz="0" w:space="0" w:color="auto"/>
                <w:bottom w:val="none" w:sz="0" w:space="0" w:color="auto"/>
                <w:right w:val="none" w:sz="0" w:space="0" w:color="auto"/>
              </w:divBdr>
              <w:divsChild>
                <w:div w:id="392435439">
                  <w:marLeft w:val="0"/>
                  <w:marRight w:val="0"/>
                  <w:marTop w:val="0"/>
                  <w:marBottom w:val="0"/>
                  <w:divBdr>
                    <w:top w:val="none" w:sz="0" w:space="0" w:color="auto"/>
                    <w:left w:val="none" w:sz="0" w:space="0" w:color="auto"/>
                    <w:bottom w:val="none" w:sz="0" w:space="0" w:color="auto"/>
                    <w:right w:val="none" w:sz="0" w:space="0" w:color="auto"/>
                  </w:divBdr>
                  <w:divsChild>
                    <w:div w:id="1753694136">
                      <w:marLeft w:val="0"/>
                      <w:marRight w:val="0"/>
                      <w:marTop w:val="0"/>
                      <w:marBottom w:val="0"/>
                      <w:divBdr>
                        <w:top w:val="none" w:sz="0" w:space="0" w:color="auto"/>
                        <w:left w:val="none" w:sz="0" w:space="0" w:color="auto"/>
                        <w:bottom w:val="none" w:sz="0" w:space="0" w:color="auto"/>
                        <w:right w:val="none" w:sz="0" w:space="0" w:color="auto"/>
                      </w:divBdr>
                      <w:divsChild>
                        <w:div w:id="2132359405">
                          <w:marLeft w:val="0"/>
                          <w:marRight w:val="0"/>
                          <w:marTop w:val="0"/>
                          <w:marBottom w:val="0"/>
                          <w:divBdr>
                            <w:top w:val="none" w:sz="0" w:space="0" w:color="auto"/>
                            <w:left w:val="none" w:sz="0" w:space="0" w:color="auto"/>
                            <w:bottom w:val="none" w:sz="0" w:space="0" w:color="auto"/>
                            <w:right w:val="none" w:sz="0" w:space="0" w:color="auto"/>
                          </w:divBdr>
                          <w:divsChild>
                            <w:div w:id="108279231">
                              <w:marLeft w:val="0"/>
                              <w:marRight w:val="0"/>
                              <w:marTop w:val="0"/>
                              <w:marBottom w:val="0"/>
                              <w:divBdr>
                                <w:top w:val="none" w:sz="0" w:space="0" w:color="auto"/>
                                <w:left w:val="none" w:sz="0" w:space="0" w:color="auto"/>
                                <w:bottom w:val="none" w:sz="0" w:space="0" w:color="auto"/>
                                <w:right w:val="none" w:sz="0" w:space="0" w:color="auto"/>
                              </w:divBdr>
                              <w:divsChild>
                                <w:div w:id="1621960814">
                                  <w:marLeft w:val="0"/>
                                  <w:marRight w:val="0"/>
                                  <w:marTop w:val="0"/>
                                  <w:marBottom w:val="0"/>
                                  <w:divBdr>
                                    <w:top w:val="none" w:sz="0" w:space="0" w:color="auto"/>
                                    <w:left w:val="none" w:sz="0" w:space="0" w:color="auto"/>
                                    <w:bottom w:val="none" w:sz="0" w:space="0" w:color="auto"/>
                                    <w:right w:val="none" w:sz="0" w:space="0" w:color="auto"/>
                                  </w:divBdr>
                                  <w:divsChild>
                                    <w:div w:id="6005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501591">
                          <w:marLeft w:val="0"/>
                          <w:marRight w:val="0"/>
                          <w:marTop w:val="0"/>
                          <w:marBottom w:val="0"/>
                          <w:divBdr>
                            <w:top w:val="none" w:sz="0" w:space="0" w:color="auto"/>
                            <w:left w:val="none" w:sz="0" w:space="0" w:color="auto"/>
                            <w:bottom w:val="none" w:sz="0" w:space="0" w:color="auto"/>
                            <w:right w:val="none" w:sz="0" w:space="0" w:color="auto"/>
                          </w:divBdr>
                          <w:divsChild>
                            <w:div w:id="1771973880">
                              <w:marLeft w:val="0"/>
                              <w:marRight w:val="0"/>
                              <w:marTop w:val="0"/>
                              <w:marBottom w:val="0"/>
                              <w:divBdr>
                                <w:top w:val="none" w:sz="0" w:space="0" w:color="auto"/>
                                <w:left w:val="none" w:sz="0" w:space="0" w:color="auto"/>
                                <w:bottom w:val="none" w:sz="0" w:space="0" w:color="auto"/>
                                <w:right w:val="none" w:sz="0" w:space="0" w:color="auto"/>
                              </w:divBdr>
                              <w:divsChild>
                                <w:div w:id="1522552054">
                                  <w:marLeft w:val="0"/>
                                  <w:marRight w:val="0"/>
                                  <w:marTop w:val="0"/>
                                  <w:marBottom w:val="0"/>
                                  <w:divBdr>
                                    <w:top w:val="none" w:sz="0" w:space="0" w:color="auto"/>
                                    <w:left w:val="none" w:sz="0" w:space="0" w:color="auto"/>
                                    <w:bottom w:val="none" w:sz="0" w:space="0" w:color="auto"/>
                                    <w:right w:val="none" w:sz="0" w:space="0" w:color="auto"/>
                                  </w:divBdr>
                                  <w:divsChild>
                                    <w:div w:id="2024741875">
                                      <w:marLeft w:val="0"/>
                                      <w:marRight w:val="0"/>
                                      <w:marTop w:val="0"/>
                                      <w:marBottom w:val="0"/>
                                      <w:divBdr>
                                        <w:top w:val="none" w:sz="0" w:space="0" w:color="auto"/>
                                        <w:left w:val="none" w:sz="0" w:space="0" w:color="auto"/>
                                        <w:bottom w:val="none" w:sz="0" w:space="0" w:color="auto"/>
                                        <w:right w:val="none" w:sz="0" w:space="0" w:color="auto"/>
                                      </w:divBdr>
                                    </w:div>
                                  </w:divsChild>
                                </w:div>
                                <w:div w:id="3167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810413">
      <w:bodyDiv w:val="1"/>
      <w:marLeft w:val="0"/>
      <w:marRight w:val="0"/>
      <w:marTop w:val="0"/>
      <w:marBottom w:val="0"/>
      <w:divBdr>
        <w:top w:val="none" w:sz="0" w:space="0" w:color="auto"/>
        <w:left w:val="none" w:sz="0" w:space="0" w:color="auto"/>
        <w:bottom w:val="none" w:sz="0" w:space="0" w:color="auto"/>
        <w:right w:val="none" w:sz="0" w:space="0" w:color="auto"/>
      </w:divBdr>
    </w:div>
    <w:div w:id="805899385">
      <w:bodyDiv w:val="1"/>
      <w:marLeft w:val="0"/>
      <w:marRight w:val="0"/>
      <w:marTop w:val="0"/>
      <w:marBottom w:val="0"/>
      <w:divBdr>
        <w:top w:val="none" w:sz="0" w:space="0" w:color="auto"/>
        <w:left w:val="none" w:sz="0" w:space="0" w:color="auto"/>
        <w:bottom w:val="none" w:sz="0" w:space="0" w:color="auto"/>
        <w:right w:val="none" w:sz="0" w:space="0" w:color="auto"/>
      </w:divBdr>
    </w:div>
    <w:div w:id="809323918">
      <w:bodyDiv w:val="1"/>
      <w:marLeft w:val="0"/>
      <w:marRight w:val="0"/>
      <w:marTop w:val="0"/>
      <w:marBottom w:val="0"/>
      <w:divBdr>
        <w:top w:val="none" w:sz="0" w:space="0" w:color="auto"/>
        <w:left w:val="none" w:sz="0" w:space="0" w:color="auto"/>
        <w:bottom w:val="none" w:sz="0" w:space="0" w:color="auto"/>
        <w:right w:val="none" w:sz="0" w:space="0" w:color="auto"/>
      </w:divBdr>
    </w:div>
    <w:div w:id="888761991">
      <w:bodyDiv w:val="1"/>
      <w:marLeft w:val="0"/>
      <w:marRight w:val="0"/>
      <w:marTop w:val="0"/>
      <w:marBottom w:val="0"/>
      <w:divBdr>
        <w:top w:val="none" w:sz="0" w:space="0" w:color="auto"/>
        <w:left w:val="none" w:sz="0" w:space="0" w:color="auto"/>
        <w:bottom w:val="none" w:sz="0" w:space="0" w:color="auto"/>
        <w:right w:val="none" w:sz="0" w:space="0" w:color="auto"/>
      </w:divBdr>
    </w:div>
    <w:div w:id="896740955">
      <w:bodyDiv w:val="1"/>
      <w:marLeft w:val="0"/>
      <w:marRight w:val="0"/>
      <w:marTop w:val="0"/>
      <w:marBottom w:val="0"/>
      <w:divBdr>
        <w:top w:val="none" w:sz="0" w:space="0" w:color="auto"/>
        <w:left w:val="none" w:sz="0" w:space="0" w:color="auto"/>
        <w:bottom w:val="none" w:sz="0" w:space="0" w:color="auto"/>
        <w:right w:val="none" w:sz="0" w:space="0" w:color="auto"/>
      </w:divBdr>
      <w:divsChild>
        <w:div w:id="180107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8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163863">
      <w:bodyDiv w:val="1"/>
      <w:marLeft w:val="0"/>
      <w:marRight w:val="0"/>
      <w:marTop w:val="0"/>
      <w:marBottom w:val="0"/>
      <w:divBdr>
        <w:top w:val="none" w:sz="0" w:space="0" w:color="auto"/>
        <w:left w:val="none" w:sz="0" w:space="0" w:color="auto"/>
        <w:bottom w:val="none" w:sz="0" w:space="0" w:color="auto"/>
        <w:right w:val="none" w:sz="0" w:space="0" w:color="auto"/>
      </w:divBdr>
    </w:div>
    <w:div w:id="979844046">
      <w:bodyDiv w:val="1"/>
      <w:marLeft w:val="0"/>
      <w:marRight w:val="0"/>
      <w:marTop w:val="0"/>
      <w:marBottom w:val="0"/>
      <w:divBdr>
        <w:top w:val="none" w:sz="0" w:space="0" w:color="auto"/>
        <w:left w:val="none" w:sz="0" w:space="0" w:color="auto"/>
        <w:bottom w:val="none" w:sz="0" w:space="0" w:color="auto"/>
        <w:right w:val="none" w:sz="0" w:space="0" w:color="auto"/>
      </w:divBdr>
    </w:div>
    <w:div w:id="994530451">
      <w:bodyDiv w:val="1"/>
      <w:marLeft w:val="0"/>
      <w:marRight w:val="0"/>
      <w:marTop w:val="0"/>
      <w:marBottom w:val="0"/>
      <w:divBdr>
        <w:top w:val="none" w:sz="0" w:space="0" w:color="auto"/>
        <w:left w:val="none" w:sz="0" w:space="0" w:color="auto"/>
        <w:bottom w:val="none" w:sz="0" w:space="0" w:color="auto"/>
        <w:right w:val="none" w:sz="0" w:space="0" w:color="auto"/>
      </w:divBdr>
    </w:div>
    <w:div w:id="1054355235">
      <w:bodyDiv w:val="1"/>
      <w:marLeft w:val="0"/>
      <w:marRight w:val="0"/>
      <w:marTop w:val="0"/>
      <w:marBottom w:val="0"/>
      <w:divBdr>
        <w:top w:val="none" w:sz="0" w:space="0" w:color="auto"/>
        <w:left w:val="none" w:sz="0" w:space="0" w:color="auto"/>
        <w:bottom w:val="none" w:sz="0" w:space="0" w:color="auto"/>
        <w:right w:val="none" w:sz="0" w:space="0" w:color="auto"/>
      </w:divBdr>
    </w:div>
    <w:div w:id="1113749665">
      <w:bodyDiv w:val="1"/>
      <w:marLeft w:val="0"/>
      <w:marRight w:val="0"/>
      <w:marTop w:val="0"/>
      <w:marBottom w:val="0"/>
      <w:divBdr>
        <w:top w:val="none" w:sz="0" w:space="0" w:color="auto"/>
        <w:left w:val="none" w:sz="0" w:space="0" w:color="auto"/>
        <w:bottom w:val="none" w:sz="0" w:space="0" w:color="auto"/>
        <w:right w:val="none" w:sz="0" w:space="0" w:color="auto"/>
      </w:divBdr>
    </w:div>
    <w:div w:id="1114179986">
      <w:bodyDiv w:val="1"/>
      <w:marLeft w:val="0"/>
      <w:marRight w:val="0"/>
      <w:marTop w:val="0"/>
      <w:marBottom w:val="0"/>
      <w:divBdr>
        <w:top w:val="none" w:sz="0" w:space="0" w:color="auto"/>
        <w:left w:val="none" w:sz="0" w:space="0" w:color="auto"/>
        <w:bottom w:val="none" w:sz="0" w:space="0" w:color="auto"/>
        <w:right w:val="none" w:sz="0" w:space="0" w:color="auto"/>
      </w:divBdr>
    </w:div>
    <w:div w:id="1134256536">
      <w:bodyDiv w:val="1"/>
      <w:marLeft w:val="0"/>
      <w:marRight w:val="0"/>
      <w:marTop w:val="0"/>
      <w:marBottom w:val="0"/>
      <w:divBdr>
        <w:top w:val="none" w:sz="0" w:space="0" w:color="auto"/>
        <w:left w:val="none" w:sz="0" w:space="0" w:color="auto"/>
        <w:bottom w:val="none" w:sz="0" w:space="0" w:color="auto"/>
        <w:right w:val="none" w:sz="0" w:space="0" w:color="auto"/>
      </w:divBdr>
    </w:div>
    <w:div w:id="1141654250">
      <w:bodyDiv w:val="1"/>
      <w:marLeft w:val="0"/>
      <w:marRight w:val="0"/>
      <w:marTop w:val="0"/>
      <w:marBottom w:val="0"/>
      <w:divBdr>
        <w:top w:val="none" w:sz="0" w:space="0" w:color="auto"/>
        <w:left w:val="none" w:sz="0" w:space="0" w:color="auto"/>
        <w:bottom w:val="none" w:sz="0" w:space="0" w:color="auto"/>
        <w:right w:val="none" w:sz="0" w:space="0" w:color="auto"/>
      </w:divBdr>
    </w:div>
    <w:div w:id="1174614970">
      <w:bodyDiv w:val="1"/>
      <w:marLeft w:val="0"/>
      <w:marRight w:val="0"/>
      <w:marTop w:val="0"/>
      <w:marBottom w:val="0"/>
      <w:divBdr>
        <w:top w:val="none" w:sz="0" w:space="0" w:color="auto"/>
        <w:left w:val="none" w:sz="0" w:space="0" w:color="auto"/>
        <w:bottom w:val="none" w:sz="0" w:space="0" w:color="auto"/>
        <w:right w:val="none" w:sz="0" w:space="0" w:color="auto"/>
      </w:divBdr>
    </w:div>
    <w:div w:id="1185628321">
      <w:bodyDiv w:val="1"/>
      <w:marLeft w:val="0"/>
      <w:marRight w:val="0"/>
      <w:marTop w:val="0"/>
      <w:marBottom w:val="0"/>
      <w:divBdr>
        <w:top w:val="none" w:sz="0" w:space="0" w:color="auto"/>
        <w:left w:val="none" w:sz="0" w:space="0" w:color="auto"/>
        <w:bottom w:val="none" w:sz="0" w:space="0" w:color="auto"/>
        <w:right w:val="none" w:sz="0" w:space="0" w:color="auto"/>
      </w:divBdr>
    </w:div>
    <w:div w:id="1219366765">
      <w:bodyDiv w:val="1"/>
      <w:marLeft w:val="0"/>
      <w:marRight w:val="0"/>
      <w:marTop w:val="0"/>
      <w:marBottom w:val="0"/>
      <w:divBdr>
        <w:top w:val="none" w:sz="0" w:space="0" w:color="auto"/>
        <w:left w:val="none" w:sz="0" w:space="0" w:color="auto"/>
        <w:bottom w:val="none" w:sz="0" w:space="0" w:color="auto"/>
        <w:right w:val="none" w:sz="0" w:space="0" w:color="auto"/>
      </w:divBdr>
    </w:div>
    <w:div w:id="1229612136">
      <w:bodyDiv w:val="1"/>
      <w:marLeft w:val="0"/>
      <w:marRight w:val="0"/>
      <w:marTop w:val="0"/>
      <w:marBottom w:val="0"/>
      <w:divBdr>
        <w:top w:val="none" w:sz="0" w:space="0" w:color="auto"/>
        <w:left w:val="none" w:sz="0" w:space="0" w:color="auto"/>
        <w:bottom w:val="none" w:sz="0" w:space="0" w:color="auto"/>
        <w:right w:val="none" w:sz="0" w:space="0" w:color="auto"/>
      </w:divBdr>
    </w:div>
    <w:div w:id="1368872740">
      <w:bodyDiv w:val="1"/>
      <w:marLeft w:val="0"/>
      <w:marRight w:val="0"/>
      <w:marTop w:val="0"/>
      <w:marBottom w:val="0"/>
      <w:divBdr>
        <w:top w:val="none" w:sz="0" w:space="0" w:color="auto"/>
        <w:left w:val="none" w:sz="0" w:space="0" w:color="auto"/>
        <w:bottom w:val="none" w:sz="0" w:space="0" w:color="auto"/>
        <w:right w:val="none" w:sz="0" w:space="0" w:color="auto"/>
      </w:divBdr>
    </w:div>
    <w:div w:id="1383871196">
      <w:bodyDiv w:val="1"/>
      <w:marLeft w:val="0"/>
      <w:marRight w:val="0"/>
      <w:marTop w:val="0"/>
      <w:marBottom w:val="0"/>
      <w:divBdr>
        <w:top w:val="none" w:sz="0" w:space="0" w:color="auto"/>
        <w:left w:val="none" w:sz="0" w:space="0" w:color="auto"/>
        <w:bottom w:val="none" w:sz="0" w:space="0" w:color="auto"/>
        <w:right w:val="none" w:sz="0" w:space="0" w:color="auto"/>
      </w:divBdr>
    </w:div>
    <w:div w:id="1394347604">
      <w:bodyDiv w:val="1"/>
      <w:marLeft w:val="0"/>
      <w:marRight w:val="0"/>
      <w:marTop w:val="0"/>
      <w:marBottom w:val="0"/>
      <w:divBdr>
        <w:top w:val="none" w:sz="0" w:space="0" w:color="auto"/>
        <w:left w:val="none" w:sz="0" w:space="0" w:color="auto"/>
        <w:bottom w:val="none" w:sz="0" w:space="0" w:color="auto"/>
        <w:right w:val="none" w:sz="0" w:space="0" w:color="auto"/>
      </w:divBdr>
      <w:divsChild>
        <w:div w:id="165499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3901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968804">
      <w:bodyDiv w:val="1"/>
      <w:marLeft w:val="0"/>
      <w:marRight w:val="0"/>
      <w:marTop w:val="0"/>
      <w:marBottom w:val="0"/>
      <w:divBdr>
        <w:top w:val="none" w:sz="0" w:space="0" w:color="auto"/>
        <w:left w:val="none" w:sz="0" w:space="0" w:color="auto"/>
        <w:bottom w:val="none" w:sz="0" w:space="0" w:color="auto"/>
        <w:right w:val="none" w:sz="0" w:space="0" w:color="auto"/>
      </w:divBdr>
    </w:div>
    <w:div w:id="1418556894">
      <w:bodyDiv w:val="1"/>
      <w:marLeft w:val="0"/>
      <w:marRight w:val="0"/>
      <w:marTop w:val="0"/>
      <w:marBottom w:val="0"/>
      <w:divBdr>
        <w:top w:val="none" w:sz="0" w:space="0" w:color="auto"/>
        <w:left w:val="none" w:sz="0" w:space="0" w:color="auto"/>
        <w:bottom w:val="none" w:sz="0" w:space="0" w:color="auto"/>
        <w:right w:val="none" w:sz="0" w:space="0" w:color="auto"/>
      </w:divBdr>
    </w:div>
    <w:div w:id="1436249912">
      <w:bodyDiv w:val="1"/>
      <w:marLeft w:val="0"/>
      <w:marRight w:val="0"/>
      <w:marTop w:val="0"/>
      <w:marBottom w:val="0"/>
      <w:divBdr>
        <w:top w:val="none" w:sz="0" w:space="0" w:color="auto"/>
        <w:left w:val="none" w:sz="0" w:space="0" w:color="auto"/>
        <w:bottom w:val="none" w:sz="0" w:space="0" w:color="auto"/>
        <w:right w:val="none" w:sz="0" w:space="0" w:color="auto"/>
      </w:divBdr>
    </w:div>
    <w:div w:id="1515683508">
      <w:bodyDiv w:val="1"/>
      <w:marLeft w:val="0"/>
      <w:marRight w:val="0"/>
      <w:marTop w:val="0"/>
      <w:marBottom w:val="0"/>
      <w:divBdr>
        <w:top w:val="none" w:sz="0" w:space="0" w:color="auto"/>
        <w:left w:val="none" w:sz="0" w:space="0" w:color="auto"/>
        <w:bottom w:val="none" w:sz="0" w:space="0" w:color="auto"/>
        <w:right w:val="none" w:sz="0" w:space="0" w:color="auto"/>
      </w:divBdr>
    </w:div>
    <w:div w:id="1520662023">
      <w:bodyDiv w:val="1"/>
      <w:marLeft w:val="0"/>
      <w:marRight w:val="0"/>
      <w:marTop w:val="0"/>
      <w:marBottom w:val="0"/>
      <w:divBdr>
        <w:top w:val="none" w:sz="0" w:space="0" w:color="auto"/>
        <w:left w:val="none" w:sz="0" w:space="0" w:color="auto"/>
        <w:bottom w:val="none" w:sz="0" w:space="0" w:color="auto"/>
        <w:right w:val="none" w:sz="0" w:space="0" w:color="auto"/>
      </w:divBdr>
    </w:div>
    <w:div w:id="1622348056">
      <w:bodyDiv w:val="1"/>
      <w:marLeft w:val="0"/>
      <w:marRight w:val="0"/>
      <w:marTop w:val="0"/>
      <w:marBottom w:val="0"/>
      <w:divBdr>
        <w:top w:val="none" w:sz="0" w:space="0" w:color="auto"/>
        <w:left w:val="none" w:sz="0" w:space="0" w:color="auto"/>
        <w:bottom w:val="none" w:sz="0" w:space="0" w:color="auto"/>
        <w:right w:val="none" w:sz="0" w:space="0" w:color="auto"/>
      </w:divBdr>
    </w:div>
    <w:div w:id="1627348386">
      <w:bodyDiv w:val="1"/>
      <w:marLeft w:val="0"/>
      <w:marRight w:val="0"/>
      <w:marTop w:val="0"/>
      <w:marBottom w:val="0"/>
      <w:divBdr>
        <w:top w:val="none" w:sz="0" w:space="0" w:color="auto"/>
        <w:left w:val="none" w:sz="0" w:space="0" w:color="auto"/>
        <w:bottom w:val="none" w:sz="0" w:space="0" w:color="auto"/>
        <w:right w:val="none" w:sz="0" w:space="0" w:color="auto"/>
      </w:divBdr>
    </w:div>
    <w:div w:id="1694727071">
      <w:bodyDiv w:val="1"/>
      <w:marLeft w:val="0"/>
      <w:marRight w:val="0"/>
      <w:marTop w:val="0"/>
      <w:marBottom w:val="0"/>
      <w:divBdr>
        <w:top w:val="none" w:sz="0" w:space="0" w:color="auto"/>
        <w:left w:val="none" w:sz="0" w:space="0" w:color="auto"/>
        <w:bottom w:val="none" w:sz="0" w:space="0" w:color="auto"/>
        <w:right w:val="none" w:sz="0" w:space="0" w:color="auto"/>
      </w:divBdr>
    </w:div>
    <w:div w:id="1695619572">
      <w:bodyDiv w:val="1"/>
      <w:marLeft w:val="0"/>
      <w:marRight w:val="0"/>
      <w:marTop w:val="0"/>
      <w:marBottom w:val="0"/>
      <w:divBdr>
        <w:top w:val="none" w:sz="0" w:space="0" w:color="auto"/>
        <w:left w:val="none" w:sz="0" w:space="0" w:color="auto"/>
        <w:bottom w:val="none" w:sz="0" w:space="0" w:color="auto"/>
        <w:right w:val="none" w:sz="0" w:space="0" w:color="auto"/>
      </w:divBdr>
    </w:div>
    <w:div w:id="1702512140">
      <w:bodyDiv w:val="1"/>
      <w:marLeft w:val="0"/>
      <w:marRight w:val="0"/>
      <w:marTop w:val="0"/>
      <w:marBottom w:val="0"/>
      <w:divBdr>
        <w:top w:val="none" w:sz="0" w:space="0" w:color="auto"/>
        <w:left w:val="none" w:sz="0" w:space="0" w:color="auto"/>
        <w:bottom w:val="none" w:sz="0" w:space="0" w:color="auto"/>
        <w:right w:val="none" w:sz="0" w:space="0" w:color="auto"/>
      </w:divBdr>
    </w:div>
    <w:div w:id="1706172461">
      <w:bodyDiv w:val="1"/>
      <w:marLeft w:val="0"/>
      <w:marRight w:val="0"/>
      <w:marTop w:val="0"/>
      <w:marBottom w:val="0"/>
      <w:divBdr>
        <w:top w:val="none" w:sz="0" w:space="0" w:color="auto"/>
        <w:left w:val="none" w:sz="0" w:space="0" w:color="auto"/>
        <w:bottom w:val="none" w:sz="0" w:space="0" w:color="auto"/>
        <w:right w:val="none" w:sz="0" w:space="0" w:color="auto"/>
      </w:divBdr>
    </w:div>
    <w:div w:id="1758482414">
      <w:bodyDiv w:val="1"/>
      <w:marLeft w:val="0"/>
      <w:marRight w:val="0"/>
      <w:marTop w:val="0"/>
      <w:marBottom w:val="0"/>
      <w:divBdr>
        <w:top w:val="none" w:sz="0" w:space="0" w:color="auto"/>
        <w:left w:val="none" w:sz="0" w:space="0" w:color="auto"/>
        <w:bottom w:val="none" w:sz="0" w:space="0" w:color="auto"/>
        <w:right w:val="none" w:sz="0" w:space="0" w:color="auto"/>
      </w:divBdr>
    </w:div>
    <w:div w:id="1831365968">
      <w:bodyDiv w:val="1"/>
      <w:marLeft w:val="0"/>
      <w:marRight w:val="0"/>
      <w:marTop w:val="0"/>
      <w:marBottom w:val="0"/>
      <w:divBdr>
        <w:top w:val="none" w:sz="0" w:space="0" w:color="auto"/>
        <w:left w:val="none" w:sz="0" w:space="0" w:color="auto"/>
        <w:bottom w:val="none" w:sz="0" w:space="0" w:color="auto"/>
        <w:right w:val="none" w:sz="0" w:space="0" w:color="auto"/>
      </w:divBdr>
    </w:div>
    <w:div w:id="1893425905">
      <w:bodyDiv w:val="1"/>
      <w:marLeft w:val="0"/>
      <w:marRight w:val="0"/>
      <w:marTop w:val="0"/>
      <w:marBottom w:val="0"/>
      <w:divBdr>
        <w:top w:val="none" w:sz="0" w:space="0" w:color="auto"/>
        <w:left w:val="none" w:sz="0" w:space="0" w:color="auto"/>
        <w:bottom w:val="none" w:sz="0" w:space="0" w:color="auto"/>
        <w:right w:val="none" w:sz="0" w:space="0" w:color="auto"/>
      </w:divBdr>
    </w:div>
    <w:div w:id="1900246393">
      <w:bodyDiv w:val="1"/>
      <w:marLeft w:val="0"/>
      <w:marRight w:val="0"/>
      <w:marTop w:val="0"/>
      <w:marBottom w:val="0"/>
      <w:divBdr>
        <w:top w:val="none" w:sz="0" w:space="0" w:color="auto"/>
        <w:left w:val="none" w:sz="0" w:space="0" w:color="auto"/>
        <w:bottom w:val="none" w:sz="0" w:space="0" w:color="auto"/>
        <w:right w:val="none" w:sz="0" w:space="0" w:color="auto"/>
      </w:divBdr>
    </w:div>
    <w:div w:id="1926377270">
      <w:bodyDiv w:val="1"/>
      <w:marLeft w:val="0"/>
      <w:marRight w:val="0"/>
      <w:marTop w:val="0"/>
      <w:marBottom w:val="0"/>
      <w:divBdr>
        <w:top w:val="none" w:sz="0" w:space="0" w:color="auto"/>
        <w:left w:val="none" w:sz="0" w:space="0" w:color="auto"/>
        <w:bottom w:val="none" w:sz="0" w:space="0" w:color="auto"/>
        <w:right w:val="none" w:sz="0" w:space="0" w:color="auto"/>
      </w:divBdr>
    </w:div>
    <w:div w:id="1950233360">
      <w:bodyDiv w:val="1"/>
      <w:marLeft w:val="0"/>
      <w:marRight w:val="0"/>
      <w:marTop w:val="0"/>
      <w:marBottom w:val="0"/>
      <w:divBdr>
        <w:top w:val="none" w:sz="0" w:space="0" w:color="auto"/>
        <w:left w:val="none" w:sz="0" w:space="0" w:color="auto"/>
        <w:bottom w:val="none" w:sz="0" w:space="0" w:color="auto"/>
        <w:right w:val="none" w:sz="0" w:space="0" w:color="auto"/>
      </w:divBdr>
    </w:div>
    <w:div w:id="1978100930">
      <w:bodyDiv w:val="1"/>
      <w:marLeft w:val="0"/>
      <w:marRight w:val="0"/>
      <w:marTop w:val="0"/>
      <w:marBottom w:val="0"/>
      <w:divBdr>
        <w:top w:val="none" w:sz="0" w:space="0" w:color="auto"/>
        <w:left w:val="none" w:sz="0" w:space="0" w:color="auto"/>
        <w:bottom w:val="none" w:sz="0" w:space="0" w:color="auto"/>
        <w:right w:val="none" w:sz="0" w:space="0" w:color="auto"/>
      </w:divBdr>
    </w:div>
    <w:div w:id="2043675314">
      <w:bodyDiv w:val="1"/>
      <w:marLeft w:val="0"/>
      <w:marRight w:val="0"/>
      <w:marTop w:val="0"/>
      <w:marBottom w:val="0"/>
      <w:divBdr>
        <w:top w:val="none" w:sz="0" w:space="0" w:color="auto"/>
        <w:left w:val="none" w:sz="0" w:space="0" w:color="auto"/>
        <w:bottom w:val="none" w:sz="0" w:space="0" w:color="auto"/>
        <w:right w:val="none" w:sz="0" w:space="0" w:color="auto"/>
      </w:divBdr>
    </w:div>
    <w:div w:id="212862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google.com/document/d/1MzAo43cLFg3-kQc4RoIlYTG6DIdrOQdLojLX9EZXZAM/edit?tab=t.0"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1385</TotalTime>
  <Pages>35</Pages>
  <Words>11966</Words>
  <Characters>68209</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اسلام محمد عبدالنبى احمد الدبركى</dc:creator>
  <cp:keywords/>
  <dc:description/>
  <cp:lastModifiedBy>اسلام محمد عبدالنبى احمد الدبركى</cp:lastModifiedBy>
  <cp:revision>116</cp:revision>
  <cp:lastPrinted>2025-04-29T06:56:00Z</cp:lastPrinted>
  <dcterms:created xsi:type="dcterms:W3CDTF">2025-04-19T12:50:00Z</dcterms:created>
  <dcterms:modified xsi:type="dcterms:W3CDTF">2025-04-29T06:57:00Z</dcterms:modified>
</cp:coreProperties>
</file>