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M3 — مريم حسن</w:t>
      </w:r>
    </w:p>
    <w:p>
      <w:pPr>
        <w:jc w:val="right"/>
      </w:pPr>
      <w:r>
        <w:rPr>
          <w:rFonts w:ascii="Simplified Arabic" w:hAnsi="Simplified Arabic"/>
          <w:sz w:val="20"/>
        </w:rPr>
        <w:t>المجموعة: G1 | التاريخ: 2026-03-10 15:49 | المستوى: 26%</w:t>
      </w:r>
    </w:p>
    <w:p/>
    <w:p>
      <w:pPr>
        <w:jc w:val="right"/>
      </w:pPr>
      <w:r>
        <w:rPr>
          <w:rFonts w:ascii="Simplified Arabic" w:hAnsi="Simplified Arabic"/>
          <w:sz w:val="28"/>
        </w:rPr>
        <w:t>**الموت الرحيم**</w:t>
      </w:r>
    </w:p>
    <w:p>
      <w:pPr>
        <w:jc w:val="right"/>
      </w:pPr>
      <w:r>
        <w:rPr>
          <w:rFonts w:ascii="Simplified Arabic" w:hAnsi="Simplified Arabic"/>
          <w:sz w:val="28"/>
        </w:rPr>
        <w:t>الموت الرحيم، قضية تثير جدلًا عظيمًا بين الأطباء والمرضى وأسرهم. المشكلة الرئيسية هنا هي تحديد ما إذا كان يحق للمرضى الذين يعانون من حالات مرضية مزمنة أو مستعصية اختيار الرحيل عن هذا العالم بطرق قانونية وآمنة، أم أن هذا يعتبر جريمة قتل.</w:t>
      </w:r>
    </w:p>
    <w:p>
      <w:pPr>
        <w:jc w:val="right"/>
      </w:pPr>
      <w:r>
        <w:rPr>
          <w:rFonts w:ascii="Simplified Arabic" w:hAnsi="Simplified Arabic"/>
          <w:sz w:val="28"/>
        </w:rPr>
        <w:t>الموت الرحيم يرتبط بمجموعة من المعايير الأخلاقية مثل الحق في الحياة، والحق في الموت بطريقة مشرقة، والحق في تجنب الألم والمعاناة. كما أنه يتداخل مع القواعد القانونية لبعض الدول التي تمنع أشكال معينة من الموت الرحيم.</w:t>
      </w:r>
    </w:p>
    <w:p>
      <w:pPr>
        <w:jc w:val="right"/>
      </w:pPr>
      <w:r>
        <w:rPr>
          <w:rFonts w:ascii="Simplified Arabic" w:hAnsi="Simplified Arabic"/>
          <w:sz w:val="28"/>
        </w:rPr>
        <w:t>في ظل هذه المعايير، يمكن اقتراح عدة حلول، منها السماح بموت الرحيم تحت ظروف معينة مثل الموافقة المستنيرة من المريض نفسه، أو التدخل الطبي عند وجود حالة مستعصية لا يمكن علاجها. ولكن، قد يكون من الصعب تنفيذ مثل هذه الحلول نظرًا للتحديات القانونية والاجتماعية.</w:t>
      </w:r>
    </w:p>
    <w:p>
      <w:pPr>
        <w:jc w:val="right"/>
      </w:pPr>
      <w:r>
        <w:rPr>
          <w:rFonts w:ascii="Simplified Arabic" w:hAnsi="Simplified Arabic"/>
          <w:sz w:val="28"/>
        </w:rPr>
        <w:t>الحل الأنسب ربما يكون في سن قوانين أكثر وضوحًا وأكثر عدالة، تحترم حقوق المرضى وتراعي الشعور العام والأخلاقيات الطبية. رغم صعوبة هذا الأمر، إلا أنه يمكن أن يكون الحل الأمثل إذا تم تنفيذه بشكل صحيح.</w:t>
      </w:r>
    </w:p>
    <w:p>
      <w:pPr>
        <w:jc w:val="right"/>
      </w:pPr>
      <w:r>
        <w:rPr>
          <w:rFonts w:ascii="Simplified Arabic" w:hAnsi="Simplified Arabic"/>
          <w:sz w:val="28"/>
        </w:rPr>
        <w:t>من وجهة نظري، الموت الرحيم يمكن أن يكون حلًا إيجابيًا إذا تم تنظيمه بشكل صحيح، بحيث يحترم حقوق الإنسان ويقلل من المعاناة. لكن من الضروري أن تكون هناك إجراءات صارمة لضمان عدم الاستغلال أو السوء استخدام هذه السياسات.</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