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أميرة ياسر</w:t>
      </w:r>
    </w:p>
    <w:p>
      <w:pPr>
        <w:jc w:val="right"/>
      </w:pPr>
      <w:r>
        <w:rPr>
          <w:rFonts w:ascii="Simplified Arabic" w:hAnsi="Simplified Arabic"/>
          <w:sz w:val="20"/>
        </w:rPr>
        <w:t>المجموعة: G1 | التاريخ: 2026-03-08 16:57 | المستوى: 56%</w:t>
      </w:r>
    </w:p>
    <w:p/>
    <w:p>
      <w:pPr>
        <w:jc w:val="right"/>
      </w:pPr>
      <w:r>
        <w:rPr>
          <w:rFonts w:ascii="Simplified Arabic" w:hAnsi="Simplified Arabic"/>
          <w:sz w:val="28"/>
        </w:rPr>
        <w:t>السعودية سجلت رقماً قياسياً في عمليات زراعة الأعضاء خلال عام 2024. تم إجراء أكثر من 600 عملية زراعة أعضاء خلال هذا العام، مما جعلها تحقق رقماً قياسياً جديداً في الشرق الأوسط. هذا الأمر يسلط الضوء على قضية زراعة الأعضاء، حيث يتم تقييم مدى فعالية البرامج التي تعزز التبرع بالأعضاء والتأكيد على أهمية هذه العمليات لإنقاذ حياة المرضى.</w:t>
      </w:r>
    </w:p>
    <w:p>
      <w:pPr>
        <w:jc w:val="right"/>
      </w:pPr>
      <w:r>
        <w:rPr>
          <w:rFonts w:ascii="Simplified Arabic" w:hAnsi="Simplified Arabic"/>
          <w:sz w:val="28"/>
        </w:rPr>
        <w:t>في سويسرا، أثارت كبسولة ساركو الجدل في عام 2021. هذه الكبسولة ثلاثية الأبعاد تسمح للشخص بإنهاء حياته بضغطة زر دون تدخل طبي مباشر. هذا يدخل ضمن قضية الموت الرحيم، حيث يتم نقاش مدى أهمية حق الإنسان في اختيار الموته بطريقة سلمية وآمنة.</w:t>
      </w:r>
    </w:p>
    <w:p>
      <w:pPr>
        <w:jc w:val="right"/>
      </w:pPr>
      <w:r>
        <w:rPr>
          <w:rFonts w:ascii="Simplified Arabic" w:hAnsi="Simplified Arabic"/>
          <w:sz w:val="28"/>
        </w:rPr>
        <w:t>في حالة الطفل الإيطالي في عام 2023، استعاد وعيه بعد أن أعلن الأطباء عن وفاته دماغياً. هذا الحدث نادر وغير متوقع، مما أثار تساؤلات حول دقة تشخيص الموت الدماغي وكيفية التعامل مع هذه الحالات في المستقبل.</w:t>
      </w:r>
    </w:p>
    <w:p>
      <w:pPr>
        <w:jc w:val="right"/>
      </w:pPr>
      <w:r>
        <w:rPr>
          <w:rFonts w:ascii="Simplified Arabic" w:hAnsi="Simplified Arabic"/>
          <w:sz w:val="28"/>
        </w:rPr>
        <w:t>الصين أصدرت قوانين صارمة لتنظيم الأبحاث الجينية في عام 2022 بعد فضيحة العالم هي جيانكوي الذي عدّل جينات أطفال بشريين دون موافقة أخلاقية. هذه القضية تتعلق بأخلاقيات البحث العلمي على البشر، حيث يتم التأكيد على أهمية الالتزام بالقواعد الأخلاقية والضوابط القانونية في الأبحاث العلمية.</w:t>
      </w:r>
    </w:p>
    <w:p>
      <w:pPr>
        <w:jc w:val="right"/>
      </w:pPr>
      <w:r>
        <w:rPr>
          <w:rFonts w:ascii="Simplified Arabic" w:hAnsi="Simplified Arabic"/>
          <w:sz w:val="28"/>
        </w:rPr>
        <w:t>في بريطانيا، حدث نقاش قانوني وأخلاقي حول السماح للأطفال فوق 12 سنة بالموافقة على تلقي لقاح كورونا دون إذن الوالدين في عام 2021. هذه القضية تتعلق بالموافقة المستنيرة، حيث يتم نقاش مدى أهمية حق الأطفال في اتخاذ قرارات صحية مستنيرة وذاتية.</w:t>
      </w:r>
    </w:p>
    <w:p>
      <w:pPr>
        <w:jc w:val="right"/>
      </w:pPr>
      <w:r>
        <w:rPr>
          <w:rFonts w:ascii="Simplified Arabic" w:hAnsi="Simplified Arabic"/>
          <w:sz w:val="28"/>
        </w:rPr>
        <w:t>هذه الأمثلة تقدم نظرة على القضايا الأخلاقية الرئيسية في العالم الحديث، وكيف يتم التعامل معها في الأحداث الحالية. من خلال فهم هذه الأمثلة، يمكننا فهم أهمية احترام الضوابط الأخلاقية في مجتمعاتنا.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