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Fonts w:cs="Simplified Arabic" w:ascii="Simplified Arabic" w:hAnsi="Simplified Arabic"/>
        <w:rPr>
          <w:rFonts w:ascii="Simplified Arabic" w:hAnsi="Simplified Arabic"/>
          <w:b/>
          <w:sz w:val="32"/>
        </w:rPr>
        <w:t>الفصل الرابع: نتائج البحث وتفسيرها ومخرجاته وتوصياته</w:t>
      </w:r>
    </w:p>
    <w:p>
      <w:pPr>
        <w:bidi/>
        <w:spacing w:line="360" w:lineRule="auto"/>
        <w:ind w:firstLine="720"/>
        <w:jc w:val="both"/>
      </w:pPr>
      <w:r>
        <w:rFonts w:cs="Simplified Arabic" w:ascii="Simplified Arabic" w:hAnsi="Simplified Arabic"/>
        <w:rPr>
          <w:rFonts w:ascii="Simplified Arabic" w:hAnsi="Simplified Arabic"/>
          <w:b w:val="0"/>
          <w:sz w:val="28"/>
        </w:rPr>
        <w:t>يتناول هذا الفصل عرضاً لنتائج البحث التي تم التوصل إليها من خلال تطبيق أدوات البحث (مقياس حل المشكلات، ومقياس التدفق الذهني) على عينة البحث الأساسية، وذلك للإجابة عن أسئلة البحث، واختبار صحة فروضه. وقد تم تقسيم هذا الفصل إلى ستة أقسام رئيسية على النحو التالي:</w:t>
      </w:r>
    </w:p>
    <w:p>
      <w:pPr>
        <w:pStyle w:val="ListBullet"/>
        <w:bidi/>
        <w:jc w:val="both"/>
      </w:pPr>
      <w:r>
        <w:rFonts w:cs="Simplified Arabic" w:ascii="Simplified Arabic" w:hAnsi="Simplified Arabic"/>
        <w:rPr>
          <w:rFonts w:ascii="Simplified Arabic" w:hAnsi="Simplified Arabic"/>
          <w:b w:val="0"/>
          <w:sz w:val="28"/>
        </w:rPr>
        <w:t>أولاً: الإجابة على أسئلة البحث.</w:t>
      </w:r>
    </w:p>
    <w:p>
      <w:pPr>
        <w:pStyle w:val="ListBullet"/>
        <w:bidi/>
        <w:jc w:val="both"/>
      </w:pPr>
      <w:r>
        <w:rFonts w:cs="Simplified Arabic" w:ascii="Simplified Arabic" w:hAnsi="Simplified Arabic"/>
        <w:rPr>
          <w:rFonts w:ascii="Simplified Arabic" w:hAnsi="Simplified Arabic"/>
          <w:b w:val="0"/>
          <w:sz w:val="28"/>
        </w:rPr>
        <w:t>ثانيًا: اختبار صحة فروض البحث (الإحصاء الوصفي واختبار الفروض).</w:t>
      </w:r>
    </w:p>
    <w:p>
      <w:pPr>
        <w:pStyle w:val="ListBullet"/>
        <w:bidi/>
        <w:jc w:val="both"/>
      </w:pPr>
      <w:r>
        <w:rFonts w:cs="Simplified Arabic" w:ascii="Simplified Arabic" w:hAnsi="Simplified Arabic"/>
        <w:rPr>
          <w:rFonts w:ascii="Simplified Arabic" w:hAnsi="Simplified Arabic"/>
          <w:b w:val="0"/>
          <w:sz w:val="28"/>
        </w:rPr>
        <w:t>ثالثًا: تفسير نتائج البحث ومناقشتها.</w:t>
      </w:r>
    </w:p>
    <w:p>
      <w:pPr>
        <w:pStyle w:val="ListBullet"/>
        <w:bidi/>
        <w:jc w:val="both"/>
      </w:pPr>
      <w:r>
        <w:rFonts w:cs="Simplified Arabic" w:ascii="Simplified Arabic" w:hAnsi="Simplified Arabic"/>
        <w:rPr>
          <w:rFonts w:ascii="Simplified Arabic" w:hAnsi="Simplified Arabic"/>
          <w:b w:val="0"/>
          <w:sz w:val="28"/>
        </w:rPr>
        <w:t>رابعًا: مخرجات البحث.</w:t>
      </w:r>
    </w:p>
    <w:p>
      <w:pPr>
        <w:pStyle w:val="ListBullet"/>
        <w:bidi/>
        <w:jc w:val="both"/>
      </w:pPr>
      <w:r>
        <w:rFonts w:cs="Simplified Arabic" w:ascii="Simplified Arabic" w:hAnsi="Simplified Arabic"/>
        <w:rPr>
          <w:rFonts w:ascii="Simplified Arabic" w:hAnsi="Simplified Arabic"/>
          <w:b w:val="0"/>
          <w:sz w:val="28"/>
        </w:rPr>
        <w:t>خامسًا: توصيات البحث.</w:t>
      </w:r>
    </w:p>
    <w:p>
      <w:pPr>
        <w:pStyle w:val="ListBullet"/>
        <w:bidi/>
        <w:jc w:val="both"/>
      </w:pPr>
      <w:r>
        <w:rFonts w:cs="Simplified Arabic" w:ascii="Simplified Arabic" w:hAnsi="Simplified Arabic"/>
        <w:rPr>
          <w:rFonts w:ascii="Simplified Arabic" w:hAnsi="Simplified Arabic"/>
          <w:b w:val="0"/>
          <w:sz w:val="28"/>
        </w:rPr>
        <w:t>سادسًا: مقترحات البحث (البحوث المقترحة).</w:t>
      </w:r>
    </w:p>
    <w:p>
      <w:pPr>
        <w:bidi/>
        <w:spacing w:line="360" w:lineRule="auto"/>
        <w:ind w:firstLine="720"/>
        <w:jc w:val="both"/>
      </w:pPr>
      <w:r>
        <w:rFonts w:cs="Simplified Arabic" w:ascii="Simplified Arabic" w:hAnsi="Simplified Arabic"/>
        <w:rPr>
          <w:rFonts w:ascii="Simplified Arabic" w:hAnsi="Simplified Arabic"/>
          <w:b w:val="0"/>
          <w:sz w:val="28"/>
        </w:rPr>
        <w:t>وفيما يلي عرض مفصل لكل قسم من هذه الأقسام:</w:t>
      </w:r>
    </w:p>
    <w:p>
      <w:pPr>
        <w:bidi/>
        <w:jc w:val="right"/>
      </w:pPr>
      <w:r>
        <w:rFonts w:cs="Simplified Arabic" w:ascii="Simplified Arabic" w:hAnsi="Simplified Arabic"/>
        <w:rPr>
          <w:rFonts w:ascii="Simplified Arabic" w:hAnsi="Simplified Arabic"/>
          <w:b/>
          <w:sz w:val="28"/>
        </w:rPr>
        <w:t>أولاً: الإجابة على أسئلة البحث</w:t>
      </w:r>
    </w:p>
    <w:p>
      <w:pPr>
        <w:bidi/>
        <w:spacing w:line="360" w:lineRule="auto"/>
        <w:ind w:firstLine="720"/>
        <w:jc w:val="both"/>
      </w:pPr>
      <w:r>
        <w:rFonts w:cs="Simplified Arabic" w:ascii="Simplified Arabic" w:hAnsi="Simplified Arabic"/>
        <w:rPr>
          <w:rFonts w:ascii="Simplified Arabic" w:hAnsi="Simplified Arabic"/>
          <w:b w:val="0"/>
          <w:sz w:val="28"/>
        </w:rPr>
        <w:t>استهدف البحث الحالي الإجابة عن أربعة أسئلة رئيسية؛ وقد تم الإجابة عن السؤالين الأول والثاني في الفصول السابقة، بينما يتناول هذا الفصل الإجابة عن السؤالين الثالث والرابع المتعلقين بنتائج التجربة الأساسية.</w:t>
      </w:r>
    </w:p>
    <w:p>
      <w:pPr>
        <w:bidi/>
        <w:jc w:val="right"/>
      </w:pPr>
      <w:r>
        <w:rFonts w:cs="Simplified Arabic" w:ascii="Simplified Arabic" w:hAnsi="Simplified Arabic"/>
        <w:rPr>
          <w:rFonts w:ascii="Simplified Arabic" w:hAnsi="Simplified Arabic"/>
          <w:b/>
          <w:sz w:val="28"/>
        </w:rPr>
        <w:t>1. الإجابة عن السؤال الأول:</w:t>
      </w:r>
    </w:p>
    <w:p>
      <w:pPr>
        <w:bidi/>
        <w:spacing w:line="360" w:lineRule="auto"/>
        <w:ind w:firstLine="720"/>
        <w:jc w:val="both"/>
      </w:pPr>
      <w:r>
        <w:rFonts w:cs="Simplified Arabic" w:ascii="Simplified Arabic" w:hAnsi="Simplified Arabic"/>
        <w:rPr>
          <w:rFonts w:ascii="Simplified Arabic" w:hAnsi="Simplified Arabic"/>
          <w:b w:val="0"/>
          <w:sz w:val="28"/>
        </w:rPr>
        <w:t>نص السؤال الأول على: "ما معايير تصميم بيئة تعلم إلكتروني قائمة على نمط حشد المصادر (تنافسي/تشاركي) وزمنه (محدد/مفتوح)؟"</w:t>
      </w:r>
    </w:p>
    <w:p>
      <w:pPr>
        <w:bidi/>
        <w:spacing w:line="360" w:lineRule="auto"/>
        <w:ind w:firstLine="720"/>
        <w:jc w:val="both"/>
      </w:pPr>
      <w:r>
        <w:rFonts w:cs="Simplified Arabic" w:ascii="Simplified Arabic" w:hAnsi="Simplified Arabic"/>
        <w:rPr>
          <w:rFonts w:ascii="Simplified Arabic" w:hAnsi="Simplified Arabic"/>
          <w:b w:val="0"/>
          <w:sz w:val="28"/>
        </w:rPr>
        <w:t>وللإجابة عن هذا السؤال، قام الباحث بالرجوع إلى الأدبيات والدراسات السابقة المرتبطة بتصميم بيئات التعلم الإلكترونية ونمط حشد المصادر، وتم التوصل إلى قائمة بمعايير التصميم في صورتها النهائية، والتي اشتملت على (8) محاور رئيسية، يندرج تحتها (63) مؤشراً، وقد تم عرض هذه القائمة بالتفصيل في الفصل الثاني من البحث، كما تم إدراجها في الملاحق الخاصة بالبحث.</w:t>
      </w:r>
    </w:p>
    <w:p>
      <w:pPr>
        <w:bidi/>
        <w:jc w:val="right"/>
      </w:pPr>
      <w:r>
        <w:rFonts w:cs="Simplified Arabic" w:ascii="Simplified Arabic" w:hAnsi="Simplified Arabic"/>
        <w:rPr>
          <w:rFonts w:ascii="Simplified Arabic" w:hAnsi="Simplified Arabic"/>
          <w:b/>
          <w:sz w:val="28"/>
        </w:rPr>
        <w:t>2. الإجابة عن السؤال الثاني:</w:t>
      </w:r>
    </w:p>
    <w:p>
      <w:pPr>
        <w:bidi/>
        <w:spacing w:line="360" w:lineRule="auto"/>
        <w:ind w:firstLine="720"/>
        <w:jc w:val="both"/>
      </w:pPr>
      <w:r>
        <w:rFonts w:cs="Simplified Arabic" w:ascii="Simplified Arabic" w:hAnsi="Simplified Arabic"/>
        <w:rPr>
          <w:rFonts w:ascii="Simplified Arabic" w:hAnsi="Simplified Arabic"/>
          <w:b w:val="0"/>
          <w:sz w:val="28"/>
        </w:rPr>
        <w:t>نص السؤال الثاني على: "ما التصميم التعليمي لبيئة التعلم الإلكتروني القائمة على نمط حشد المصادر (تنافسي/تشاركي) وزمنه (محدد/مفتوح) لتنمية مهارات حل المشكلات الأخلاقية البيوطبية والتدفق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وللإجابة عن هذا السؤال، اعتمد الباحث على نموذج (خميس، 2015) للتصميم التعليمي، حيث مر التصميم بخمس مراحل أساسية متسلسلة ومتكاملة، وهي: مرحلة التحليل، مرحلة التصميم، مرحلة التطوير والإنتاج، مرحلة التقويم، ومرحلة الاستخدام. وقد تم استعراض كل مرحلة بجميع خطواتها وإجراءاتها بالتفصيل في الفصل الثالث (إجراءات البحث).</w:t>
      </w:r>
    </w:p>
    <w:p>
      <w:pPr>
        <w:bidi/>
        <w:jc w:val="right"/>
      </w:pPr>
      <w:r>
        <w:rFonts w:cs="Simplified Arabic" w:ascii="Simplified Arabic" w:hAnsi="Simplified Arabic"/>
        <w:rPr>
          <w:rFonts w:ascii="Simplified Arabic" w:hAnsi="Simplified Arabic"/>
          <w:b/>
          <w:sz w:val="28"/>
        </w:rPr>
        <w:t>3. الإجابة عن السؤال الثالث:</w:t>
      </w:r>
    </w:p>
    <w:p>
      <w:pPr>
        <w:bidi/>
        <w:spacing w:line="360" w:lineRule="auto"/>
        <w:ind w:firstLine="720"/>
        <w:jc w:val="both"/>
      </w:pPr>
      <w:r>
        <w:rFonts w:cs="Simplified Arabic" w:ascii="Simplified Arabic" w:hAnsi="Simplified Arabic"/>
        <w:rPr>
          <w:rFonts w:ascii="Simplified Arabic" w:hAnsi="Simplified Arabic"/>
          <w:b w:val="0"/>
          <w:sz w:val="28"/>
        </w:rPr>
        <w:t>نص السؤال الثالث على: "ما أثر اختلاف نمط حشد المصادر (تنافسي/تشاركي) وزمنه (محدد/مفتوح) والتفاعل بينهما في بيئة تعلم إلكتروني على تنمية مهارات حل المشكلات الأخلاقية البيوطبية؟"</w:t>
      </w:r>
    </w:p>
    <w:p>
      <w:pPr>
        <w:bidi/>
        <w:spacing w:line="360" w:lineRule="auto"/>
        <w:ind w:firstLine="720"/>
        <w:jc w:val="both"/>
      </w:pPr>
      <w:r>
        <w:rFonts w:cs="Simplified Arabic" w:ascii="Simplified Arabic" w:hAnsi="Simplified Arabic"/>
        <w:rPr>
          <w:rFonts w:ascii="Simplified Arabic" w:hAnsi="Simplified Arabic"/>
          <w:b w:val="0"/>
          <w:sz w:val="28"/>
        </w:rPr>
        <w:t>وللإجابة عن هذا السؤال، تم صياغة الفروض الأول والثاني والثالث من فروض البحث واختبار صحتها إحصائياً، وسيتم عرض تفاصيل ونتائج هذه الفروض لاحقاً في قسم (ثانياً: اختبار صحة فروض البحث).</w:t>
      </w:r>
    </w:p>
    <w:p>
      <w:pPr>
        <w:bidi/>
        <w:jc w:val="right"/>
      </w:pPr>
      <w:r>
        <w:rFonts w:cs="Simplified Arabic" w:ascii="Simplified Arabic" w:hAnsi="Simplified Arabic"/>
        <w:rPr>
          <w:rFonts w:ascii="Simplified Arabic" w:hAnsi="Simplified Arabic"/>
          <w:b/>
          <w:sz w:val="28"/>
        </w:rPr>
        <w:t>4. الإجابة عن السؤال الرابع:</w:t>
      </w:r>
    </w:p>
    <w:p>
      <w:pPr>
        <w:bidi/>
        <w:spacing w:line="360" w:lineRule="auto"/>
        <w:ind w:firstLine="720"/>
        <w:jc w:val="both"/>
      </w:pPr>
      <w:r>
        <w:rFonts w:cs="Simplified Arabic" w:ascii="Simplified Arabic" w:hAnsi="Simplified Arabic"/>
        <w:rPr>
          <w:rFonts w:ascii="Simplified Arabic" w:hAnsi="Simplified Arabic"/>
          <w:b w:val="0"/>
          <w:sz w:val="28"/>
        </w:rPr>
        <w:t>نص السؤال الرابع على: "ما أثر اختلاف نمط حشد المصادر (تنافسي/تشاركي) وزمنه (محدد/مفتوح) والتفاعل بينهما في بيئة تعلم إلكتروني على تنمية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وللإجابة عن هذا السؤال، تم صياغة الفروض الرابع والخامس والسادس من فروض البحث واختبار صحتها إحصائياً، وسيتم عرض تفاصيل ونتائج هذه الفروض لاحقاً في قسم (ثانياً: اختبار صحة فروض البحث).</w:t>
      </w:r>
    </w:p>
    <w:p>
      <w:pPr>
        <w:bidi/>
        <w:jc w:val="right"/>
      </w:pPr>
      <w:r>
        <w:rFonts w:cs="Simplified Arabic" w:ascii="Simplified Arabic" w:hAnsi="Simplified Arabic"/>
        <w:rPr>
          <w:rFonts w:ascii="Simplified Arabic" w:hAnsi="Simplified Arabic"/>
          <w:b/>
          <w:sz w:val="28"/>
        </w:rPr>
        <w:t>ثانيًا: اختبار صحة فروض البحث (شاملاً الإحصاء الوصفي)</w:t>
      </w:r>
    </w:p>
    <w:p>
      <w:pPr>
        <w:bidi/>
        <w:spacing w:line="360" w:lineRule="auto"/>
        <w:ind w:firstLine="720"/>
        <w:jc w:val="both"/>
      </w:pPr>
      <w:r>
        <w:rFonts w:cs="Simplified Arabic" w:ascii="Simplified Arabic" w:hAnsi="Simplified Arabic"/>
        <w:rPr>
          <w:rFonts w:ascii="Simplified Arabic" w:hAnsi="Simplified Arabic"/>
          <w:b w:val="0"/>
          <w:sz w:val="28"/>
        </w:rPr>
        <w:t>للإجابة عن أسئلة البحث الثالث والرابع المتعلقة بأثر المتغيرات المستقلة على المتغيرات التابعة، قام الباحث باختبار صحة فروض البحث الستة. ولتحقيق ذلك، تم الاعتماد على تحليل التباين الثنائي (Two-way ANOVA) للكشف عن التأثيرات الرئيسية لكل من (نمط حشد المصادر، والزمن) وكذلك التأثير التفاعلي بينهما. وقبل الشروع في استعراض نتائج اختبار الفروض، يعرض الباحث الإحصاء الوصفي للبيانات ونتائج التحقق من تكافؤ المجموعات التجريبية.</w:t>
      </w:r>
    </w:p>
    <w:p>
      <w:pPr>
        <w:bidi/>
        <w:jc w:val="right"/>
      </w:pPr>
      <w:r>
        <w:rFonts w:cs="Simplified Arabic" w:ascii="Simplified Arabic" w:hAnsi="Simplified Arabic"/>
        <w:rPr>
          <w:rFonts w:ascii="Simplified Arabic" w:hAnsi="Simplified Arabic"/>
          <w:b/>
          <w:sz w:val="28"/>
        </w:rPr>
        <w:t>1. الإحصاء الوصفي لمتغيرات البحث</w:t>
      </w:r>
    </w:p>
    <w:p>
      <w:pPr>
        <w:bidi/>
        <w:spacing w:line="360" w:lineRule="auto"/>
        <w:ind w:firstLine="720"/>
        <w:jc w:val="both"/>
      </w:pPr>
      <w:r>
        <w:rFonts w:cs="Simplified Arabic" w:ascii="Simplified Arabic" w:hAnsi="Simplified Arabic"/>
        <w:rPr>
          <w:rFonts w:ascii="Simplified Arabic" w:hAnsi="Simplified Arabic"/>
          <w:b w:val="0"/>
          <w:sz w:val="28"/>
        </w:rPr>
        <w:t>لحساب المتوسطات الحسابية والانحرافات المعيارية لدرجات مجموعات البحث الأربع في القياس البعدي لمقياسي (حل المشكلات الأخلاقية البيوطبية، والتدفق الذهني)، تم استخدام المعالجات الإحصائية المناسبة، وجاءت النتائج كما هو موضح في الجداول التالية:</w:t>
      </w:r>
    </w:p>
    <w:p>
      <w:pPr>
        <w:bidi/>
        <w:spacing w:line="360" w:lineRule="auto"/>
        <w:ind w:firstLine="720"/>
        <w:jc w:val="both"/>
      </w:pPr>
      <w:r>
        <w:rFonts w:cs="Simplified Arabic" w:ascii="Simplified Arabic" w:hAnsi="Simplified Arabic"/>
        <w:rPr>
          <w:rFonts w:ascii="Simplified Arabic" w:hAnsi="Simplified Arabic"/>
          <w:b w:val="0"/>
          <w:sz w:val="28"/>
        </w:rPr>
        <w:t>جدول (1): الإحصاء الوصفي لدرجات طلاب المجموعات الأربع في القياس البعدي لمقياس حل المشكلات</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نمط الحشد</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الزمن</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العدد (N)</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المتوسط (M)</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الانحراف المعياري (SD)</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الأولى</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18.40</w:t>
            </w:r>
          </w:p>
        </w:tc>
        <w:tc>
          <w:tcPr>
            <w:tcW w:type="dxa" w:w="1440"/>
          </w:tcPr>
          <w:p>
            <w:pPr>
              <w:jc w:val="center"/>
              <w:bidi/>
            </w:pPr>
            <w:r>
              <w:rFonts w:cs="Simplified Arabic" w:ascii="Simplified Arabic" w:hAnsi="Simplified Arabic"/>
              <w:rPr>
                <w:rFonts w:ascii="Simplified Arabic" w:hAnsi="Simplified Arabic"/>
                <w:b w:val="0"/>
                <w:sz w:val="28"/>
              </w:rPr>
              <w:t>2.93</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الثانية</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18.30</w:t>
            </w:r>
          </w:p>
        </w:tc>
        <w:tc>
          <w:tcPr>
            <w:tcW w:type="dxa" w:w="1440"/>
          </w:tcPr>
          <w:p>
            <w:pPr>
              <w:jc w:val="center"/>
              <w:bidi/>
            </w:pPr>
            <w:r>
              <w:rFonts w:cs="Simplified Arabic" w:ascii="Simplified Arabic" w:hAnsi="Simplified Arabic"/>
              <w:rPr>
                <w:rFonts w:ascii="Simplified Arabic" w:hAnsi="Simplified Arabic"/>
                <w:b w:val="0"/>
                <w:sz w:val="28"/>
              </w:rPr>
              <w:t>4.45</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الثالث</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22.20</w:t>
            </w:r>
          </w:p>
        </w:tc>
        <w:tc>
          <w:tcPr>
            <w:tcW w:type="dxa" w:w="1440"/>
          </w:tcPr>
          <w:p>
            <w:pPr>
              <w:jc w:val="center"/>
              <w:bidi/>
            </w:pPr>
            <w:r>
              <w:rFonts w:cs="Simplified Arabic" w:ascii="Simplified Arabic" w:hAnsi="Simplified Arabic"/>
              <w:rPr>
                <w:rFonts w:ascii="Simplified Arabic" w:hAnsi="Simplified Arabic"/>
                <w:b w:val="0"/>
                <w:sz w:val="28"/>
              </w:rPr>
              <w:t>2.12</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الرابعة</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21.90</w:t>
            </w:r>
          </w:p>
        </w:tc>
        <w:tc>
          <w:tcPr>
            <w:tcW w:type="dxa" w:w="1440"/>
          </w:tcPr>
          <w:p>
            <w:pPr>
              <w:jc w:val="center"/>
              <w:bidi/>
            </w:pPr>
            <w:r>
              <w:rFonts w:cs="Simplified Arabic" w:ascii="Simplified Arabic" w:hAnsi="Simplified Arabic"/>
              <w:rPr>
                <w:rFonts w:ascii="Simplified Arabic" w:hAnsi="Simplified Arabic"/>
                <w:b w:val="0"/>
                <w:sz w:val="28"/>
              </w:rPr>
              <w:t>3.49</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 (1) وجود تباين ظاهري بين المتوسطات الحسابية لدرجات طلاب المجموعات الأربع في التطبيق البعدي لمقياس حل المشكلات الأخلاقية البيوطبية، حيث سجلت مجموعة (التشاركي المحدد) أعلى متوسط حسابي (22.20).</w:t>
      </w:r>
    </w:p>
    <w:p>
      <w:pPr>
        <w:bidi/>
        <w:spacing w:line="360" w:lineRule="auto"/>
        <w:ind w:firstLine="720"/>
        <w:jc w:val="both"/>
      </w:pPr>
      <w:r>
        <w:rFonts w:cs="Simplified Arabic" w:ascii="Simplified Arabic" w:hAnsi="Simplified Arabic"/>
        <w:rPr>
          <w:rFonts w:ascii="Simplified Arabic" w:hAnsi="Simplified Arabic"/>
          <w:b w:val="0"/>
          <w:sz w:val="28"/>
        </w:rPr>
        <w:t>جدول (2): الإحصاء الوصفي لدرجات طلاب المجموعات الأربع في القياس البعدي لمقياس التدفق الذهني (الدرجة الكلية)</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نمط الحشد</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الزمن</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العدد (N)</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المتوسط الكلي (M)</w:t>
            </w:r>
          </w:p>
        </w:tc>
        <w:tc>
          <w:tcPr>
            <w:tcW w:type="dxa" w:w="1440"/>
            <w:shd w:val="clear" w:color="auto" w:fill="D9D9D9"/>
          </w:tcPr>
          <w:p>
            <w:pPr>
              <w:jc w:val="center"/>
              <w:bidi/>
            </w:pPr>
            <w:r>
              <w:rFonts w:cs="Simplified Arabic" w:ascii="Simplified Arabic" w:hAnsi="Simplified Arabic"/>
              <w:rPr>
                <w:rFonts w:ascii="Simplified Arabic" w:hAnsi="Simplified Arabic"/>
                <w:b/>
                <w:sz w:val="28"/>
              </w:rPr>
              <w:t>الانحراف المعياري (SD)</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الأولى</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196.75</w:t>
            </w:r>
          </w:p>
        </w:tc>
        <w:tc>
          <w:tcPr>
            <w:tcW w:type="dxa" w:w="1440"/>
          </w:tcPr>
          <w:p>
            <w:pPr>
              <w:jc w:val="center"/>
              <w:bidi/>
            </w:pPr>
            <w:r>
              <w:rFonts w:cs="Simplified Arabic" w:ascii="Simplified Arabic" w:hAnsi="Simplified Arabic"/>
              <w:rPr>
                <w:rFonts w:ascii="Simplified Arabic" w:hAnsi="Simplified Arabic"/>
                <w:b w:val="0"/>
                <w:sz w:val="28"/>
              </w:rPr>
              <w:t>28.19</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الثانية</w:t>
            </w:r>
          </w:p>
        </w:tc>
        <w:tc>
          <w:tcPr>
            <w:tcW w:type="dxa" w:w="1440"/>
          </w:tcPr>
          <w:p>
            <w:pPr>
              <w:jc w:val="center"/>
              <w:bidi/>
            </w:pPr>
            <w:r>
              <w:rFonts w:cs="Simplified Arabic" w:ascii="Simplified Arabic" w:hAnsi="Simplified Arabic"/>
              <w:rPr>
                <w:rFonts w:ascii="Simplified Arabic" w:hAnsi="Simplified Arabic"/>
                <w:b w:val="0"/>
                <w:sz w:val="28"/>
              </w:rPr>
              <w:t>تنافسي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220.25</w:t>
            </w:r>
          </w:p>
        </w:tc>
        <w:tc>
          <w:tcPr>
            <w:tcW w:type="dxa" w:w="1440"/>
          </w:tcPr>
          <w:p>
            <w:pPr>
              <w:jc w:val="center"/>
              <w:bidi/>
            </w:pPr>
            <w:r>
              <w:rFonts w:cs="Simplified Arabic" w:ascii="Simplified Arabic" w:hAnsi="Simplified Arabic"/>
              <w:rPr>
                <w:rFonts w:ascii="Simplified Arabic" w:hAnsi="Simplified Arabic"/>
                <w:b w:val="0"/>
                <w:sz w:val="28"/>
              </w:rPr>
              <w:t>19.70</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الثالث</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محدد</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210.65</w:t>
            </w:r>
          </w:p>
        </w:tc>
        <w:tc>
          <w:tcPr>
            <w:tcW w:type="dxa" w:w="1440"/>
          </w:tcPr>
          <w:p>
            <w:pPr>
              <w:jc w:val="center"/>
              <w:bidi/>
            </w:pPr>
            <w:r>
              <w:rFonts w:cs="Simplified Arabic" w:ascii="Simplified Arabic" w:hAnsi="Simplified Arabic"/>
              <w:rPr>
                <w:rFonts w:ascii="Simplified Arabic" w:hAnsi="Simplified Arabic"/>
                <w:b w:val="0"/>
                <w:sz w:val="28"/>
              </w:rPr>
              <w:t>28.42</w:t>
            </w:r>
          </w:p>
        </w:tc>
      </w:tr>
      <w:tr>
        <w:tc>
          <w:tcPr>
            <w:tcW w:type="dxa" w:w="1440"/>
          </w:tcPr>
          <w:p>
            <w:pPr>
              <w:jc w:val="center"/>
              <w:bidi/>
            </w:pPr>
            <w:r>
              <w:rFonts w:cs="Simplified Arabic" w:ascii="Simplified Arabic" w:hAnsi="Simplified Arabic"/>
              <w:rPr>
                <w:rFonts w:ascii="Simplified Arabic" w:hAnsi="Simplified Arabic"/>
                <w:b w:val="0"/>
                <w:sz w:val="28"/>
              </w:rPr>
              <w:t>المجموعة الرابعة</w:t>
            </w:r>
          </w:p>
        </w:tc>
        <w:tc>
          <w:tcPr>
            <w:tcW w:type="dxa" w:w="1440"/>
          </w:tcPr>
          <w:p>
            <w:pPr>
              <w:jc w:val="center"/>
              <w:bidi/>
            </w:pPr>
            <w:r>
              <w:rFonts w:cs="Simplified Arabic" w:ascii="Simplified Arabic" w:hAnsi="Simplified Arabic"/>
              <w:rPr>
                <w:rFonts w:ascii="Simplified Arabic" w:hAnsi="Simplified Arabic"/>
                <w:b w:val="0"/>
                <w:sz w:val="28"/>
              </w:rPr>
              <w:t>تشاركي</w:t>
            </w:r>
          </w:p>
        </w:tc>
        <w:tc>
          <w:tcPr>
            <w:tcW w:type="dxa" w:w="1440"/>
          </w:tcPr>
          <w:p>
            <w:pPr>
              <w:jc w:val="center"/>
              <w:bidi/>
            </w:pPr>
            <w:r>
              <w:rFonts w:cs="Simplified Arabic" w:ascii="Simplified Arabic" w:hAnsi="Simplified Arabic"/>
              <w:rPr>
                <w:rFonts w:ascii="Simplified Arabic" w:hAnsi="Simplified Arabic"/>
                <w:b w:val="0"/>
                <w:sz w:val="28"/>
              </w:rPr>
              <w:t>مفتوح</w:t>
            </w:r>
          </w:p>
        </w:tc>
        <w:tc>
          <w:tcPr>
            <w:tcW w:type="dxa" w:w="1440"/>
          </w:tcPr>
          <w:p>
            <w:pPr>
              <w:jc w:val="center"/>
              <w:bidi/>
            </w:pPr>
            <w:r>
              <w:rFonts w:cs="Simplified Arabic" w:ascii="Simplified Arabic" w:hAnsi="Simplified Arabic"/>
              <w:rPr>
                <w:rFonts w:ascii="Simplified Arabic" w:hAnsi="Simplified Arabic"/>
                <w:b w:val="0"/>
                <w:sz w:val="28"/>
              </w:rPr>
              <w:t>20</w:t>
            </w:r>
          </w:p>
        </w:tc>
        <w:tc>
          <w:tcPr>
            <w:tcW w:type="dxa" w:w="1440"/>
          </w:tcPr>
          <w:p>
            <w:pPr>
              <w:jc w:val="center"/>
              <w:bidi/>
            </w:pPr>
            <w:r>
              <w:rFonts w:cs="Simplified Arabic" w:ascii="Simplified Arabic" w:hAnsi="Simplified Arabic"/>
              <w:rPr>
                <w:rFonts w:ascii="Simplified Arabic" w:hAnsi="Simplified Arabic"/>
                <w:b w:val="0"/>
                <w:sz w:val="28"/>
              </w:rPr>
              <w:t>231.25</w:t>
            </w:r>
          </w:p>
        </w:tc>
        <w:tc>
          <w:tcPr>
            <w:tcW w:type="dxa" w:w="1440"/>
          </w:tcPr>
          <w:p>
            <w:pPr>
              <w:jc w:val="center"/>
              <w:bidi/>
            </w:pPr>
            <w:r>
              <w:rFonts w:cs="Simplified Arabic" w:ascii="Simplified Arabic" w:hAnsi="Simplified Arabic"/>
              <w:rPr>
                <w:rFonts w:ascii="Simplified Arabic" w:hAnsi="Simplified Arabic"/>
                <w:b w:val="0"/>
                <w:sz w:val="28"/>
              </w:rPr>
              <w:t>18.73</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 (2) وجود تباين ظاهري بين المتوسطات الحسابية للدرجة الكلية لمقياس التدفق الذهني بين المجموعات الأربع، حيث حققت مجموعة (التشاركي المفتوح) أعلى متوسط حسابي (231.25).</w:t>
      </w:r>
    </w:p>
    <w:p>
      <w:pPr>
        <w:bidi/>
        <w:spacing w:line="360" w:lineRule="auto"/>
        <w:ind w:firstLine="720"/>
        <w:jc w:val="both"/>
      </w:pPr>
      <w:r>
        <w:rFonts w:cs="Simplified Arabic" w:ascii="Simplified Arabic" w:hAnsi="Simplified Arabic"/>
        <w:rPr>
          <w:rFonts w:ascii="Simplified Arabic" w:hAnsi="Simplified Arabic"/>
          <w:b w:val="0"/>
          <w:sz w:val="28"/>
        </w:rPr>
        <w:t>ولمزيد من التفصيل، يعرض الباحث الإحصاء الوصفي للأبعاد الثمانية للتدفق الذهني وفقاً لنموذج (أباظة، 2011) المعتمد في الإطار النظري:</w:t>
      </w:r>
    </w:p>
    <w:p>
      <w:pPr>
        <w:bidi/>
        <w:spacing w:line="360" w:lineRule="auto"/>
        <w:ind w:firstLine="720"/>
        <w:jc w:val="both"/>
      </w:pPr>
      <w:r>
        <w:rFonts w:cs="Simplified Arabic" w:ascii="Simplified Arabic" w:hAnsi="Simplified Arabic"/>
        <w:rPr>
          <w:rFonts w:ascii="Simplified Arabic" w:hAnsi="Simplified Arabic"/>
          <w:b w:val="0"/>
          <w:sz w:val="28"/>
        </w:rPr>
        <w:t>جدول (2أ): الإحصاء الوصفي للأبعاد الثمانية لمقياس التدفق الذهني للمجموعات التجريبية الأربع</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البعد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تنافسي × محدد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تنافسي × مفتوح</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تشاركي × محدد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تشاركي × مفتوح</w:t>
            </w:r>
          </w:p>
        </w:tc>
      </w:tr>
      <w:tr>
        <w:tc>
          <w:tcPr>
            <w:tcW w:type="dxa" w:w="1728"/>
          </w:tcPr>
          <w:p>
            <w:pPr>
              <w:jc w:val="center"/>
              <w:bidi/>
            </w:pPr>
            <w:r>
              <w:rFonts w:cs="Simplified Arabic" w:ascii="Simplified Arabic" w:hAnsi="Simplified Arabic"/>
              <w:rPr>
                <w:rFonts w:ascii="Simplified Arabic" w:hAnsi="Simplified Arabic"/>
                <w:b w:val="0"/>
                <w:sz w:val="28"/>
              </w:rPr>
              <w:t>1. إدارة الوقت بإيجابية والشعور بالمسؤولية</w:t>
            </w:r>
          </w:p>
        </w:tc>
        <w:tc>
          <w:tcPr>
            <w:tcW w:type="dxa" w:w="1728"/>
          </w:tcPr>
          <w:p>
            <w:pPr>
              <w:jc w:val="center"/>
              <w:bidi/>
            </w:pPr>
            <w:r>
              <w:rFonts w:cs="Simplified Arabic" w:ascii="Simplified Arabic" w:hAnsi="Simplified Arabic"/>
              <w:rPr>
                <w:rFonts w:ascii="Simplified Arabic" w:hAnsi="Simplified Arabic"/>
                <w:b w:val="0"/>
                <w:sz w:val="28"/>
              </w:rPr>
              <w:t>م=24.55 (ع=4.15)</w:t>
            </w:r>
          </w:p>
        </w:tc>
        <w:tc>
          <w:tcPr>
            <w:tcW w:type="dxa" w:w="1728"/>
          </w:tcPr>
          <w:p>
            <w:pPr>
              <w:jc w:val="center"/>
              <w:bidi/>
            </w:pPr>
            <w:r>
              <w:rFonts w:cs="Simplified Arabic" w:ascii="Simplified Arabic" w:hAnsi="Simplified Arabic"/>
              <w:rPr>
                <w:rFonts w:ascii="Simplified Arabic" w:hAnsi="Simplified Arabic"/>
                <w:b w:val="0"/>
                <w:sz w:val="28"/>
              </w:rPr>
              <w:t>م=28.05 (ع=3.32)</w:t>
            </w:r>
          </w:p>
        </w:tc>
        <w:tc>
          <w:tcPr>
            <w:tcW w:type="dxa" w:w="1728"/>
          </w:tcPr>
          <w:p>
            <w:pPr>
              <w:jc w:val="center"/>
              <w:bidi/>
            </w:pPr>
            <w:r>
              <w:rFonts w:cs="Simplified Arabic" w:ascii="Simplified Arabic" w:hAnsi="Simplified Arabic"/>
              <w:rPr>
                <w:rFonts w:ascii="Simplified Arabic" w:hAnsi="Simplified Arabic"/>
                <w:b w:val="0"/>
                <w:sz w:val="28"/>
              </w:rPr>
              <w:t>م=25.75 (ع=4.62)</w:t>
            </w:r>
          </w:p>
        </w:tc>
        <w:tc>
          <w:tcPr>
            <w:tcW w:type="dxa" w:w="1728"/>
          </w:tcPr>
          <w:p>
            <w:pPr>
              <w:jc w:val="center"/>
              <w:bidi/>
            </w:pPr>
            <w:r>
              <w:rFonts w:cs="Simplified Arabic" w:ascii="Simplified Arabic" w:hAnsi="Simplified Arabic"/>
              <w:rPr>
                <w:rFonts w:ascii="Simplified Arabic" w:hAnsi="Simplified Arabic"/>
                <w:b w:val="0"/>
                <w:sz w:val="28"/>
              </w:rPr>
              <w:t>م=28.65 (ع=2.94)</w:t>
            </w:r>
          </w:p>
        </w:tc>
      </w:tr>
      <w:tr>
        <w:tc>
          <w:tcPr>
            <w:tcW w:type="dxa" w:w="1728"/>
          </w:tcPr>
          <w:p>
            <w:pPr>
              <w:jc w:val="center"/>
              <w:bidi/>
            </w:pPr>
            <w:r>
              <w:rFonts w:cs="Simplified Arabic" w:ascii="Simplified Arabic" w:hAnsi="Simplified Arabic"/>
              <w:rPr>
                <w:rFonts w:ascii="Simplified Arabic" w:hAnsi="Simplified Arabic"/>
                <w:b w:val="0"/>
                <w:sz w:val="28"/>
              </w:rPr>
              <w:t>2. تحديد الأهداف بدقة</w:t>
            </w:r>
          </w:p>
        </w:tc>
        <w:tc>
          <w:tcPr>
            <w:tcW w:type="dxa" w:w="1728"/>
          </w:tcPr>
          <w:p>
            <w:pPr>
              <w:jc w:val="center"/>
              <w:bidi/>
            </w:pPr>
            <w:r>
              <w:rFonts w:cs="Simplified Arabic" w:ascii="Simplified Arabic" w:hAnsi="Simplified Arabic"/>
              <w:rPr>
                <w:rFonts w:ascii="Simplified Arabic" w:hAnsi="Simplified Arabic"/>
                <w:b w:val="0"/>
                <w:sz w:val="28"/>
              </w:rPr>
              <w:t>م=25.05 (ع=4.19)</w:t>
            </w:r>
          </w:p>
        </w:tc>
        <w:tc>
          <w:tcPr>
            <w:tcW w:type="dxa" w:w="1728"/>
          </w:tcPr>
          <w:p>
            <w:pPr>
              <w:jc w:val="center"/>
              <w:bidi/>
            </w:pPr>
            <w:r>
              <w:rFonts w:cs="Simplified Arabic" w:ascii="Simplified Arabic" w:hAnsi="Simplified Arabic"/>
              <w:rPr>
                <w:rFonts w:ascii="Simplified Arabic" w:hAnsi="Simplified Arabic"/>
                <w:b w:val="0"/>
                <w:sz w:val="28"/>
              </w:rPr>
              <w:t>م=26.90 (ع=2.99)</w:t>
            </w:r>
          </w:p>
        </w:tc>
        <w:tc>
          <w:tcPr>
            <w:tcW w:type="dxa" w:w="1728"/>
          </w:tcPr>
          <w:p>
            <w:pPr>
              <w:jc w:val="center"/>
              <w:bidi/>
            </w:pPr>
            <w:r>
              <w:rFonts w:cs="Simplified Arabic" w:ascii="Simplified Arabic" w:hAnsi="Simplified Arabic"/>
              <w:rPr>
                <w:rFonts w:ascii="Simplified Arabic" w:hAnsi="Simplified Arabic"/>
                <w:b w:val="0"/>
                <w:sz w:val="28"/>
              </w:rPr>
              <w:t>م=24.85 (ع=4.34)</w:t>
            </w:r>
          </w:p>
        </w:tc>
        <w:tc>
          <w:tcPr>
            <w:tcW w:type="dxa" w:w="1728"/>
          </w:tcPr>
          <w:p>
            <w:pPr>
              <w:jc w:val="center"/>
              <w:bidi/>
            </w:pPr>
            <w:r>
              <w:rFonts w:cs="Simplified Arabic" w:ascii="Simplified Arabic" w:hAnsi="Simplified Arabic"/>
              <w:rPr>
                <w:rFonts w:ascii="Simplified Arabic" w:hAnsi="Simplified Arabic"/>
                <w:b w:val="0"/>
                <w:sz w:val="28"/>
              </w:rPr>
              <w:t>م=28.45 (ع=3.28)</w:t>
            </w:r>
          </w:p>
        </w:tc>
      </w:tr>
      <w:tr>
        <w:tc>
          <w:tcPr>
            <w:tcW w:type="dxa" w:w="1728"/>
          </w:tcPr>
          <w:p>
            <w:pPr>
              <w:jc w:val="center"/>
              <w:bidi/>
            </w:pPr>
            <w:r>
              <w:rFonts w:cs="Simplified Arabic" w:ascii="Simplified Arabic" w:hAnsi="Simplified Arabic"/>
              <w:rPr>
                <w:rFonts w:ascii="Simplified Arabic" w:hAnsi="Simplified Arabic"/>
                <w:b w:val="0"/>
                <w:sz w:val="28"/>
              </w:rPr>
              <w:t>3. مستوى النشاط العالي والعمل الجاد</w:t>
            </w:r>
          </w:p>
        </w:tc>
        <w:tc>
          <w:tcPr>
            <w:tcW w:type="dxa" w:w="1728"/>
          </w:tcPr>
          <w:p>
            <w:pPr>
              <w:jc w:val="center"/>
              <w:bidi/>
            </w:pPr>
            <w:r>
              <w:rFonts w:cs="Simplified Arabic" w:ascii="Simplified Arabic" w:hAnsi="Simplified Arabic"/>
              <w:rPr>
                <w:rFonts w:ascii="Simplified Arabic" w:hAnsi="Simplified Arabic"/>
                <w:b w:val="0"/>
                <w:sz w:val="28"/>
              </w:rPr>
              <w:t>م=24.30 (ع=4.62)</w:t>
            </w:r>
          </w:p>
        </w:tc>
        <w:tc>
          <w:tcPr>
            <w:tcW w:type="dxa" w:w="1728"/>
          </w:tcPr>
          <w:p>
            <w:pPr>
              <w:jc w:val="center"/>
              <w:bidi/>
            </w:pPr>
            <w:r>
              <w:rFonts w:cs="Simplified Arabic" w:ascii="Simplified Arabic" w:hAnsi="Simplified Arabic"/>
              <w:rPr>
                <w:rFonts w:ascii="Simplified Arabic" w:hAnsi="Simplified Arabic"/>
                <w:b w:val="0"/>
                <w:sz w:val="28"/>
              </w:rPr>
              <w:t>م=26.50 (ع=3.61)</w:t>
            </w:r>
          </w:p>
        </w:tc>
        <w:tc>
          <w:tcPr>
            <w:tcW w:type="dxa" w:w="1728"/>
          </w:tcPr>
          <w:p>
            <w:pPr>
              <w:jc w:val="center"/>
              <w:bidi/>
            </w:pPr>
            <w:r>
              <w:rFonts w:cs="Simplified Arabic" w:ascii="Simplified Arabic" w:hAnsi="Simplified Arabic"/>
              <w:rPr>
                <w:rFonts w:ascii="Simplified Arabic" w:hAnsi="Simplified Arabic"/>
                <w:b w:val="0"/>
                <w:sz w:val="28"/>
              </w:rPr>
              <w:t>م=26.30 (ع=4.81)</w:t>
            </w:r>
          </w:p>
        </w:tc>
        <w:tc>
          <w:tcPr>
            <w:tcW w:type="dxa" w:w="1728"/>
          </w:tcPr>
          <w:p>
            <w:pPr>
              <w:jc w:val="center"/>
              <w:bidi/>
            </w:pPr>
            <w:r>
              <w:rFonts w:cs="Simplified Arabic" w:ascii="Simplified Arabic" w:hAnsi="Simplified Arabic"/>
              <w:rPr>
                <w:rFonts w:ascii="Simplified Arabic" w:hAnsi="Simplified Arabic"/>
                <w:b w:val="0"/>
                <w:sz w:val="28"/>
              </w:rPr>
              <w:t>م=29.25 (ع=3.58)</w:t>
            </w:r>
          </w:p>
        </w:tc>
      </w:tr>
      <w:tr>
        <w:tc>
          <w:tcPr>
            <w:tcW w:type="dxa" w:w="1728"/>
          </w:tcPr>
          <w:p>
            <w:pPr>
              <w:jc w:val="center"/>
              <w:bidi/>
            </w:pPr>
            <w:r>
              <w:rFonts w:cs="Simplified Arabic" w:ascii="Simplified Arabic" w:hAnsi="Simplified Arabic"/>
              <w:rPr>
                <w:rFonts w:ascii="Simplified Arabic" w:hAnsi="Simplified Arabic"/>
                <w:b w:val="0"/>
                <w:sz w:val="28"/>
              </w:rPr>
              <w:t>4. الاندماج الكامل في العمل</w:t>
            </w:r>
          </w:p>
        </w:tc>
        <w:tc>
          <w:tcPr>
            <w:tcW w:type="dxa" w:w="1728"/>
          </w:tcPr>
          <w:p>
            <w:pPr>
              <w:jc w:val="center"/>
              <w:bidi/>
            </w:pPr>
            <w:r>
              <w:rFonts w:cs="Simplified Arabic" w:ascii="Simplified Arabic" w:hAnsi="Simplified Arabic"/>
              <w:rPr>
                <w:rFonts w:ascii="Simplified Arabic" w:hAnsi="Simplified Arabic"/>
                <w:b w:val="0"/>
                <w:sz w:val="28"/>
              </w:rPr>
              <w:t>م=23.90 (ع=4.35)</w:t>
            </w:r>
          </w:p>
        </w:tc>
        <w:tc>
          <w:tcPr>
            <w:tcW w:type="dxa" w:w="1728"/>
          </w:tcPr>
          <w:p>
            <w:pPr>
              <w:jc w:val="center"/>
              <w:bidi/>
            </w:pPr>
            <w:r>
              <w:rFonts w:cs="Simplified Arabic" w:ascii="Simplified Arabic" w:hAnsi="Simplified Arabic"/>
              <w:rPr>
                <w:rFonts w:ascii="Simplified Arabic" w:hAnsi="Simplified Arabic"/>
                <w:b w:val="0"/>
                <w:sz w:val="28"/>
              </w:rPr>
              <w:t>م=28.20 (ع=4.55)</w:t>
            </w:r>
          </w:p>
        </w:tc>
        <w:tc>
          <w:tcPr>
            <w:tcW w:type="dxa" w:w="1728"/>
          </w:tcPr>
          <w:p>
            <w:pPr>
              <w:jc w:val="center"/>
              <w:bidi/>
            </w:pPr>
            <w:r>
              <w:rFonts w:cs="Simplified Arabic" w:ascii="Simplified Arabic" w:hAnsi="Simplified Arabic"/>
              <w:rPr>
                <w:rFonts w:ascii="Simplified Arabic" w:hAnsi="Simplified Arabic"/>
                <w:b w:val="0"/>
                <w:sz w:val="28"/>
              </w:rPr>
              <w:t>م=26.40 (ع=4.74)</w:t>
            </w:r>
          </w:p>
        </w:tc>
        <w:tc>
          <w:tcPr>
            <w:tcW w:type="dxa" w:w="1728"/>
          </w:tcPr>
          <w:p>
            <w:pPr>
              <w:jc w:val="center"/>
              <w:bidi/>
            </w:pPr>
            <w:r>
              <w:rFonts w:cs="Simplified Arabic" w:ascii="Simplified Arabic" w:hAnsi="Simplified Arabic"/>
              <w:rPr>
                <w:rFonts w:ascii="Simplified Arabic" w:hAnsi="Simplified Arabic"/>
                <w:b w:val="0"/>
                <w:sz w:val="28"/>
              </w:rPr>
              <w:t>م=29.15 (ع=2.92)</w:t>
            </w:r>
          </w:p>
        </w:tc>
      </w:tr>
      <w:tr>
        <w:tc>
          <w:tcPr>
            <w:tcW w:type="dxa" w:w="1728"/>
          </w:tcPr>
          <w:p>
            <w:pPr>
              <w:jc w:val="center"/>
              <w:bidi/>
            </w:pPr>
            <w:r>
              <w:rFonts w:cs="Simplified Arabic" w:ascii="Simplified Arabic" w:hAnsi="Simplified Arabic"/>
              <w:rPr>
                <w:rFonts w:ascii="Simplified Arabic" w:hAnsi="Simplified Arabic"/>
                <w:b w:val="0"/>
                <w:sz w:val="28"/>
              </w:rPr>
              <w:t>5. تركيز الانتباه ومواجهة التحديات بثقة</w:t>
            </w:r>
          </w:p>
        </w:tc>
        <w:tc>
          <w:tcPr>
            <w:tcW w:type="dxa" w:w="1728"/>
          </w:tcPr>
          <w:p>
            <w:pPr>
              <w:jc w:val="center"/>
              <w:bidi/>
            </w:pPr>
            <w:r>
              <w:rFonts w:cs="Simplified Arabic" w:ascii="Simplified Arabic" w:hAnsi="Simplified Arabic"/>
              <w:rPr>
                <w:rFonts w:ascii="Simplified Arabic" w:hAnsi="Simplified Arabic"/>
                <w:b w:val="0"/>
                <w:sz w:val="28"/>
              </w:rPr>
              <w:t>م=24.60 (ع=3.97)</w:t>
            </w:r>
          </w:p>
        </w:tc>
        <w:tc>
          <w:tcPr>
            <w:tcW w:type="dxa" w:w="1728"/>
          </w:tcPr>
          <w:p>
            <w:pPr>
              <w:jc w:val="center"/>
              <w:bidi/>
            </w:pPr>
            <w:r>
              <w:rFonts w:cs="Simplified Arabic" w:ascii="Simplified Arabic" w:hAnsi="Simplified Arabic"/>
              <w:rPr>
                <w:rFonts w:ascii="Simplified Arabic" w:hAnsi="Simplified Arabic"/>
                <w:b w:val="0"/>
                <w:sz w:val="28"/>
              </w:rPr>
              <w:t>م=26.80 (ع=3.71)</w:t>
            </w:r>
          </w:p>
        </w:tc>
        <w:tc>
          <w:tcPr>
            <w:tcW w:type="dxa" w:w="1728"/>
          </w:tcPr>
          <w:p>
            <w:pPr>
              <w:jc w:val="center"/>
              <w:bidi/>
            </w:pPr>
            <w:r>
              <w:rFonts w:cs="Simplified Arabic" w:ascii="Simplified Arabic" w:hAnsi="Simplified Arabic"/>
              <w:rPr>
                <w:rFonts w:ascii="Simplified Arabic" w:hAnsi="Simplified Arabic"/>
                <w:b w:val="0"/>
                <w:sz w:val="28"/>
              </w:rPr>
              <w:t>م=26.25 (ع=4.08)</w:t>
            </w:r>
          </w:p>
        </w:tc>
        <w:tc>
          <w:tcPr>
            <w:tcW w:type="dxa" w:w="1728"/>
          </w:tcPr>
          <w:p>
            <w:pPr>
              <w:jc w:val="center"/>
              <w:bidi/>
            </w:pPr>
            <w:r>
              <w:rFonts w:cs="Simplified Arabic" w:ascii="Simplified Arabic" w:hAnsi="Simplified Arabic"/>
              <w:rPr>
                <w:rFonts w:ascii="Simplified Arabic" w:hAnsi="Simplified Arabic"/>
                <w:b w:val="0"/>
                <w:sz w:val="28"/>
              </w:rPr>
              <w:t>م=28.40 (ع=3.87)</w:t>
            </w:r>
          </w:p>
        </w:tc>
      </w:tr>
      <w:tr>
        <w:tc>
          <w:tcPr>
            <w:tcW w:type="dxa" w:w="1728"/>
          </w:tcPr>
          <w:p>
            <w:pPr>
              <w:jc w:val="center"/>
              <w:bidi/>
            </w:pPr>
            <w:r>
              <w:rFonts w:cs="Simplified Arabic" w:ascii="Simplified Arabic" w:hAnsi="Simplified Arabic"/>
              <w:rPr>
                <w:rFonts w:ascii="Simplified Arabic" w:hAnsi="Simplified Arabic"/>
                <w:b w:val="0"/>
                <w:sz w:val="28"/>
              </w:rPr>
              <w:t>6. نسيان الذات والزمان والمكان</w:t>
            </w:r>
          </w:p>
        </w:tc>
        <w:tc>
          <w:tcPr>
            <w:tcW w:type="dxa" w:w="1728"/>
          </w:tcPr>
          <w:p>
            <w:pPr>
              <w:jc w:val="center"/>
              <w:bidi/>
            </w:pPr>
            <w:r>
              <w:rFonts w:cs="Simplified Arabic" w:ascii="Simplified Arabic" w:hAnsi="Simplified Arabic"/>
              <w:rPr>
                <w:rFonts w:ascii="Simplified Arabic" w:hAnsi="Simplified Arabic"/>
                <w:b w:val="0"/>
                <w:sz w:val="28"/>
              </w:rPr>
              <w:t>م=24.55 (ع=4.38)</w:t>
            </w:r>
          </w:p>
        </w:tc>
        <w:tc>
          <w:tcPr>
            <w:tcW w:type="dxa" w:w="1728"/>
          </w:tcPr>
          <w:p>
            <w:pPr>
              <w:jc w:val="center"/>
              <w:bidi/>
            </w:pPr>
            <w:r>
              <w:rFonts w:cs="Simplified Arabic" w:ascii="Simplified Arabic" w:hAnsi="Simplified Arabic"/>
              <w:rPr>
                <w:rFonts w:ascii="Simplified Arabic" w:hAnsi="Simplified Arabic"/>
                <w:b w:val="0"/>
                <w:sz w:val="28"/>
              </w:rPr>
              <w:t>م=28.55 (ع=3.63)</w:t>
            </w:r>
          </w:p>
        </w:tc>
        <w:tc>
          <w:tcPr>
            <w:tcW w:type="dxa" w:w="1728"/>
          </w:tcPr>
          <w:p>
            <w:pPr>
              <w:jc w:val="center"/>
              <w:bidi/>
            </w:pPr>
            <w:r>
              <w:rFonts w:cs="Simplified Arabic" w:ascii="Simplified Arabic" w:hAnsi="Simplified Arabic"/>
              <w:rPr>
                <w:rFonts w:ascii="Simplified Arabic" w:hAnsi="Simplified Arabic"/>
                <w:b w:val="0"/>
                <w:sz w:val="28"/>
              </w:rPr>
              <w:t>م=26.85 (ع=4.79)</w:t>
            </w:r>
          </w:p>
        </w:tc>
        <w:tc>
          <w:tcPr>
            <w:tcW w:type="dxa" w:w="1728"/>
          </w:tcPr>
          <w:p>
            <w:pPr>
              <w:jc w:val="center"/>
              <w:bidi/>
            </w:pPr>
            <w:r>
              <w:rFonts w:cs="Simplified Arabic" w:ascii="Simplified Arabic" w:hAnsi="Simplified Arabic"/>
              <w:rPr>
                <w:rFonts w:ascii="Simplified Arabic" w:hAnsi="Simplified Arabic"/>
                <w:b w:val="0"/>
                <w:sz w:val="28"/>
              </w:rPr>
              <w:t>م=29.00 (ع=4.09)</w:t>
            </w:r>
          </w:p>
        </w:tc>
      </w:tr>
      <w:tr>
        <w:tc>
          <w:tcPr>
            <w:tcW w:type="dxa" w:w="1728"/>
          </w:tcPr>
          <w:p>
            <w:pPr>
              <w:jc w:val="center"/>
              <w:bidi/>
            </w:pPr>
            <w:r>
              <w:rFonts w:cs="Simplified Arabic" w:ascii="Simplified Arabic" w:hAnsi="Simplified Arabic"/>
              <w:rPr>
                <w:rFonts w:ascii="Simplified Arabic" w:hAnsi="Simplified Arabic"/>
                <w:b w:val="0"/>
                <w:sz w:val="28"/>
              </w:rPr>
              <w:t>7. الشعور بالمتعة والدافعية</w:t>
            </w:r>
          </w:p>
        </w:tc>
        <w:tc>
          <w:tcPr>
            <w:tcW w:type="dxa" w:w="1728"/>
          </w:tcPr>
          <w:p>
            <w:pPr>
              <w:jc w:val="center"/>
              <w:bidi/>
            </w:pPr>
            <w:r>
              <w:rFonts w:cs="Simplified Arabic" w:ascii="Simplified Arabic" w:hAnsi="Simplified Arabic"/>
              <w:rPr>
                <w:rFonts w:ascii="Simplified Arabic" w:hAnsi="Simplified Arabic"/>
                <w:b w:val="0"/>
                <w:sz w:val="28"/>
              </w:rPr>
              <w:t>م=24.80 (ع=4.67)</w:t>
            </w:r>
          </w:p>
        </w:tc>
        <w:tc>
          <w:tcPr>
            <w:tcW w:type="dxa" w:w="1728"/>
          </w:tcPr>
          <w:p>
            <w:pPr>
              <w:jc w:val="center"/>
              <w:bidi/>
            </w:pPr>
            <w:r>
              <w:rFonts w:cs="Simplified Arabic" w:ascii="Simplified Arabic" w:hAnsi="Simplified Arabic"/>
              <w:rPr>
                <w:rFonts w:ascii="Simplified Arabic" w:hAnsi="Simplified Arabic"/>
                <w:b w:val="0"/>
                <w:sz w:val="28"/>
              </w:rPr>
              <w:t>م=26.85 (ع=3.30)</w:t>
            </w:r>
          </w:p>
        </w:tc>
        <w:tc>
          <w:tcPr>
            <w:tcW w:type="dxa" w:w="1728"/>
          </w:tcPr>
          <w:p>
            <w:pPr>
              <w:jc w:val="center"/>
              <w:bidi/>
            </w:pPr>
            <w:r>
              <w:rFonts w:cs="Simplified Arabic" w:ascii="Simplified Arabic" w:hAnsi="Simplified Arabic"/>
              <w:rPr>
                <w:rFonts w:ascii="Simplified Arabic" w:hAnsi="Simplified Arabic"/>
                <w:b w:val="0"/>
                <w:sz w:val="28"/>
              </w:rPr>
              <w:t>م=27.65 (ع=3.67)</w:t>
            </w:r>
          </w:p>
        </w:tc>
        <w:tc>
          <w:tcPr>
            <w:tcW w:type="dxa" w:w="1728"/>
          </w:tcPr>
          <w:p>
            <w:pPr>
              <w:jc w:val="center"/>
              <w:bidi/>
            </w:pPr>
            <w:r>
              <w:rFonts w:cs="Simplified Arabic" w:ascii="Simplified Arabic" w:hAnsi="Simplified Arabic"/>
              <w:rPr>
                <w:rFonts w:ascii="Simplified Arabic" w:hAnsi="Simplified Arabic"/>
                <w:b w:val="0"/>
                <w:sz w:val="28"/>
              </w:rPr>
              <w:t>م=28.35 (ع=4.00)</w:t>
            </w:r>
          </w:p>
        </w:tc>
      </w:tr>
      <w:tr>
        <w:tc>
          <w:tcPr>
            <w:tcW w:type="dxa" w:w="1728"/>
          </w:tcPr>
          <w:p>
            <w:pPr>
              <w:jc w:val="center"/>
              <w:bidi/>
            </w:pPr>
            <w:r>
              <w:rFonts w:cs="Simplified Arabic" w:ascii="Simplified Arabic" w:hAnsi="Simplified Arabic"/>
              <w:rPr>
                <w:rFonts w:ascii="Simplified Arabic" w:hAnsi="Simplified Arabic"/>
                <w:b w:val="0"/>
                <w:sz w:val="28"/>
              </w:rPr>
              <w:t>8. الأداء التلقائي مع القدرة على اتخاذ القرارات</w:t>
            </w:r>
          </w:p>
        </w:tc>
        <w:tc>
          <w:tcPr>
            <w:tcW w:type="dxa" w:w="1728"/>
          </w:tcPr>
          <w:p>
            <w:pPr>
              <w:jc w:val="center"/>
              <w:bidi/>
            </w:pPr>
            <w:r>
              <w:rFonts w:cs="Simplified Arabic" w:ascii="Simplified Arabic" w:hAnsi="Simplified Arabic"/>
              <w:rPr>
                <w:rFonts w:ascii="Simplified Arabic" w:hAnsi="Simplified Arabic"/>
                <w:b w:val="0"/>
                <w:sz w:val="28"/>
              </w:rPr>
              <w:t>م=25.00 (ع=4.68)</w:t>
            </w:r>
          </w:p>
        </w:tc>
        <w:tc>
          <w:tcPr>
            <w:tcW w:type="dxa" w:w="1728"/>
          </w:tcPr>
          <w:p>
            <w:pPr>
              <w:jc w:val="center"/>
              <w:bidi/>
            </w:pPr>
            <w:r>
              <w:rFonts w:cs="Simplified Arabic" w:ascii="Simplified Arabic" w:hAnsi="Simplified Arabic"/>
              <w:rPr>
                <w:rFonts w:ascii="Simplified Arabic" w:hAnsi="Simplified Arabic"/>
                <w:b w:val="0"/>
                <w:sz w:val="28"/>
              </w:rPr>
              <w:t>م=28.40 (ع=2.33)</w:t>
            </w:r>
          </w:p>
        </w:tc>
        <w:tc>
          <w:tcPr>
            <w:tcW w:type="dxa" w:w="1728"/>
          </w:tcPr>
          <w:p>
            <w:pPr>
              <w:jc w:val="center"/>
              <w:bidi/>
            </w:pPr>
            <w:r>
              <w:rFonts w:cs="Simplified Arabic" w:ascii="Simplified Arabic" w:hAnsi="Simplified Arabic"/>
              <w:rPr>
                <w:rFonts w:ascii="Simplified Arabic" w:hAnsi="Simplified Arabic"/>
                <w:b w:val="0"/>
                <w:sz w:val="28"/>
              </w:rPr>
              <w:t>م=26.60 (ع=4.04)</w:t>
            </w:r>
          </w:p>
        </w:tc>
        <w:tc>
          <w:tcPr>
            <w:tcW w:type="dxa" w:w="1728"/>
          </w:tcPr>
          <w:p>
            <w:pPr>
              <w:jc w:val="center"/>
              <w:bidi/>
            </w:pPr>
            <w:r>
              <w:rFonts w:cs="Simplified Arabic" w:ascii="Simplified Arabic" w:hAnsi="Simplified Arabic"/>
              <w:rPr>
                <w:rFonts w:ascii="Simplified Arabic" w:hAnsi="Simplified Arabic"/>
                <w:b w:val="0"/>
                <w:sz w:val="28"/>
              </w:rPr>
              <w:t>م=30.00 (ع=3.24)</w:t>
            </w:r>
          </w:p>
        </w:tc>
      </w:tr>
    </w:tbl>
    <w:p>
      <w:pPr>
        <w:bidi/>
        <w:jc w:val="right"/>
      </w:pPr>
      <w:r>
        <w:rFonts w:cs="Simplified Arabic" w:ascii="Simplified Arabic" w:hAnsi="Simplified Arabic"/>
        <w:rPr>
          <w:rFonts w:ascii="Simplified Arabic" w:hAnsi="Simplified Arabic"/>
          <w:b/>
          <w:sz w:val="28"/>
        </w:rPr>
        <w:t>2. التحقق من تكافؤ المجموعات (القياس القبلي)</w:t>
      </w:r>
    </w:p>
    <w:p>
      <w:pPr>
        <w:bidi/>
        <w:spacing w:line="360" w:lineRule="auto"/>
        <w:ind w:firstLine="720"/>
        <w:jc w:val="both"/>
      </w:pPr>
      <w:r>
        <w:rFonts w:cs="Simplified Arabic" w:ascii="Simplified Arabic" w:hAnsi="Simplified Arabic"/>
        <w:rPr>
          <w:rFonts w:ascii="Simplified Arabic" w:hAnsi="Simplified Arabic"/>
          <w:b w:val="0"/>
          <w:sz w:val="28"/>
        </w:rPr>
        <w:t>لضمان صحة نتائج التجربة، وللتأكد من أن الفروق اللاحقة تعزى للمعالجة التجريبية وليس لتباين مستويات الطلاب مسبقاً، تم إجراء تحليل التباين الأحادي (One-way ANOVA) لدرجات القياس القبلي. وقد أسفرت النتائج عن عدم وجود فروق ذات دلالة إحصائية بين المجموعات الأربع في القياس القبلي لكل من مقياس حل المشكلات (p = 1.000) ومقياس التدفق الذهني (p = .232). وهذا يؤكد تكافؤ المجموعات التجريبية الأربع قبل بدء التجربة.</w:t>
      </w:r>
    </w:p>
    <w:p>
      <w:pPr>
        <w:bidi/>
        <w:jc w:val="right"/>
      </w:pPr>
      <w:r>
        <w:rFonts w:cs="Simplified Arabic" w:ascii="Simplified Arabic" w:hAnsi="Simplified Arabic"/>
        <w:rPr>
          <w:rFonts w:ascii="Simplified Arabic" w:hAnsi="Simplified Arabic"/>
          <w:b/>
          <w:sz w:val="28"/>
        </w:rPr>
        <w:t>3. التحقق من افتراضات تحليل التباين (ANOVA Assumptions)</w:t>
      </w:r>
    </w:p>
    <w:p>
      <w:pPr>
        <w:bidi/>
        <w:spacing w:line="360" w:lineRule="auto"/>
        <w:ind w:firstLine="720"/>
        <w:jc w:val="both"/>
      </w:pPr>
      <w:r>
        <w:rFonts w:cs="Simplified Arabic" w:ascii="Simplified Arabic" w:hAnsi="Simplified Arabic"/>
        <w:rPr>
          <w:rFonts w:ascii="Simplified Arabic" w:hAnsi="Simplified Arabic"/>
          <w:b w:val="0"/>
          <w:sz w:val="28"/>
        </w:rPr>
        <w:t>تم التحقق من توفر الشروط الإحصائية اللازمة لتطبيق تحليل التباين الثنائي:</w:t>
      </w:r>
    </w:p>
    <w:p>
      <w:pPr>
        <w:pStyle w:val="ListBullet"/>
        <w:bidi/>
        <w:jc w:val="both"/>
      </w:pPr>
      <w:r>
        <w:rFonts w:cs="Simplified Arabic" w:ascii="Simplified Arabic" w:hAnsi="Simplified Arabic"/>
        <w:rPr>
          <w:rFonts w:ascii="Simplified Arabic" w:hAnsi="Simplified Arabic"/>
          <w:b w:val="0"/>
          <w:sz w:val="28"/>
        </w:rPr>
        <w:t>اعتدالية التوزيع (Normality): بتطبيق اختبار شابيرو-ويلك (Shapiro-Wilk)، تبين أن جميع قيم الدلالة الإحصائية للمجموعات الأربع في المقياسين جاءت أكبر من (0.05)، مما يؤكد اعتدالية توزيع الدرجات.</w:t>
      </w:r>
    </w:p>
    <w:p>
      <w:pPr>
        <w:pStyle w:val="ListBullet"/>
        <w:bidi/>
        <w:jc w:val="both"/>
      </w:pPr>
      <w:r>
        <w:rFonts w:cs="Simplified Arabic" w:ascii="Simplified Arabic" w:hAnsi="Simplified Arabic"/>
        <w:rPr>
          <w:rFonts w:ascii="Simplified Arabic" w:hAnsi="Simplified Arabic"/>
          <w:b w:val="0"/>
          <w:sz w:val="28"/>
        </w:rPr>
        <w:t>تجانس التباين (Homogeneity): أشار اختبار ليفين (Levene's Test) إلى تحقق شرط تجانس التباين بين المجموعات، مما يسمح باستخدام الأساليب المعلمية بثقة تامة.</w:t>
      </w:r>
    </w:p>
    <w:p>
      <w:pPr>
        <w:bidi/>
        <w:jc w:val="right"/>
      </w:pPr>
      <w:r>
        <w:rFonts w:cs="Simplified Arabic" w:ascii="Simplified Arabic" w:hAnsi="Simplified Arabic"/>
        <w:rPr>
          <w:rFonts w:ascii="Simplified Arabic" w:hAnsi="Simplified Arabic"/>
          <w:b/>
          <w:sz w:val="28"/>
        </w:rPr>
        <w:t>4. نتائج اختبار فروض البحث المتعلقة بمتغير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الفرض الأول:</w:t>
      </w:r>
    </w:p>
    <w:p>
      <w:pPr>
        <w:bidi/>
        <w:spacing w:line="360" w:lineRule="auto"/>
        <w:ind w:firstLine="720"/>
        <w:jc w:val="both"/>
      </w:pPr>
      <w:r>
        <w:rFonts w:cs="Simplified Arabic" w:ascii="Simplified Arabic" w:hAnsi="Simplified Arabic"/>
        <w:rPr>
          <w:rFonts w:ascii="Simplified Arabic" w:hAnsi="Simplified Arabic"/>
          <w:b w:val="0"/>
          <w:sz w:val="28"/>
        </w:rPr>
        <w:t>ينص الفرض الأول على أنه: *"لا يوجد فرق دال إحصائيًا عند مستوى (≤ 0.05) بين متوسطات درجات طلاب المجموعات التجريبية في القياس البعدي لمقياس حل المشكلات الأخلاقية البيوطبية يرجع للتأثير الرئيسي لنمط حشد المصادر (تنافسي / تشاركي)."*</w:t>
      </w:r>
    </w:p>
    <w:p>
      <w:pPr>
        <w:bidi/>
        <w:spacing w:line="360" w:lineRule="auto"/>
        <w:ind w:firstLine="720"/>
        <w:jc w:val="both"/>
      </w:pPr>
      <w:r>
        <w:rFonts w:cs="Simplified Arabic" w:ascii="Simplified Arabic" w:hAnsi="Simplified Arabic"/>
        <w:rPr>
          <w:rFonts w:ascii="Simplified Arabic" w:hAnsi="Simplified Arabic"/>
          <w:b w:val="0"/>
          <w:sz w:val="28"/>
        </w:rPr>
        <w:t>للتحقق من صحة هذا الفرض، تم حساب قيم تحليل التباين الثنائي للتأثير الرئيسي لنمط حشد المصادر، وجاءت قيمة (F) تساوي (24.31) بمستوى دلالة (.000)، وهي دالة إحصائياً عند مستوى (0.05). وبلغ حجم الأثر (مربع إيتا η²) (0.242)، وهو حجم أثر كبير جداً. وبناءً على ذلك، يتم رفض الفرض الصفري الأول وقبول الفرض البديل القائل بوجود فرق دال إحصائياً يعزى للتأثير الرئيسي لنمط حشد المصادر، وكان هذا الفارق لصالح النمط "التشاركي" الذي حقق متوسطاً عاماً (22.05) مقارنة بالنمط "التنافسي" (18.35).</w:t>
      </w:r>
    </w:p>
    <w:p>
      <w:pPr>
        <w:bidi/>
        <w:spacing w:line="360" w:lineRule="auto"/>
        <w:ind w:firstLine="720"/>
        <w:jc w:val="both"/>
      </w:pPr>
      <w:r>
        <w:rFonts w:cs="Simplified Arabic" w:ascii="Simplified Arabic" w:hAnsi="Simplified Arabic"/>
        <w:rPr>
          <w:rFonts w:ascii="Simplified Arabic" w:hAnsi="Simplified Arabic"/>
          <w:b w:val="0"/>
          <w:sz w:val="28"/>
        </w:rPr>
        <w:t>الفرض الثاني:</w:t>
      </w:r>
    </w:p>
    <w:p>
      <w:pPr>
        <w:bidi/>
        <w:spacing w:line="360" w:lineRule="auto"/>
        <w:ind w:firstLine="720"/>
        <w:jc w:val="both"/>
      </w:pPr>
      <w:r>
        <w:rFonts w:cs="Simplified Arabic" w:ascii="Simplified Arabic" w:hAnsi="Simplified Arabic"/>
        <w:rPr>
          <w:rFonts w:ascii="Simplified Arabic" w:hAnsi="Simplified Arabic"/>
          <w:b w:val="0"/>
          <w:sz w:val="28"/>
        </w:rPr>
        <w:t>ينص الفرض الثاني على أنه: *"لا يوجد فرق دال إحصائيًا عند مستوى (≤ 0.05) بين متوسطات درجات طلاب المجموعات التجريبية في القياس البعدي لمقياس حل المشكلات الأخلاقية البيوطبية يرجع للتأثير الرئيسي للزمن (محدد / مفتوح)."*</w:t>
      </w:r>
    </w:p>
    <w:p>
      <w:pPr>
        <w:bidi/>
        <w:spacing w:line="360" w:lineRule="auto"/>
        <w:ind w:firstLine="720"/>
        <w:jc w:val="both"/>
      </w:pPr>
      <w:r>
        <w:rFonts w:cs="Simplified Arabic" w:ascii="Simplified Arabic" w:hAnsi="Simplified Arabic"/>
        <w:rPr>
          <w:rFonts w:ascii="Simplified Arabic" w:hAnsi="Simplified Arabic"/>
          <w:b w:val="0"/>
          <w:sz w:val="28"/>
        </w:rPr>
        <w:t>باستخدام تحليل التباين الثنائي، بلغت قيمة (F) للتأثير الرئيسي للزمن (0.062) وبمستوى دلالة (.804)، وهي قيمة غير دالة إحصائياً. وبلغ حجم الأثر (0.001)، وهو تأثير ضعيف جداً. وبناءً على ذلك، يتم قبول الفرض الصفري الثاني، مما يعني أن الزمن بمفرده لم يكن له تأثير رئيسي ذو دلالة إحصائية على تنمية مهارات حل المشكلات لدى الطلاب.</w:t>
      </w:r>
    </w:p>
    <w:p>
      <w:pPr>
        <w:bidi/>
        <w:spacing w:line="360" w:lineRule="auto"/>
        <w:ind w:firstLine="720"/>
        <w:jc w:val="both"/>
      </w:pPr>
      <w:r>
        <w:rFonts w:cs="Simplified Arabic" w:ascii="Simplified Arabic" w:hAnsi="Simplified Arabic"/>
        <w:rPr>
          <w:rFonts w:ascii="Simplified Arabic" w:hAnsi="Simplified Arabic"/>
          <w:b w:val="0"/>
          <w:sz w:val="28"/>
        </w:rPr>
        <w:t>الفرض الثالث:</w:t>
      </w:r>
    </w:p>
    <w:p>
      <w:pPr>
        <w:bidi/>
        <w:spacing w:line="360" w:lineRule="auto"/>
        <w:ind w:firstLine="720"/>
        <w:jc w:val="both"/>
      </w:pPr>
      <w:r>
        <w:rFonts w:cs="Simplified Arabic" w:ascii="Simplified Arabic" w:hAnsi="Simplified Arabic"/>
        <w:rPr>
          <w:rFonts w:ascii="Simplified Arabic" w:hAnsi="Simplified Arabic"/>
          <w:b w:val="0"/>
          <w:sz w:val="28"/>
        </w:rPr>
        <w:t>ينص الفرض الثالث على أنه: *"لا يوجد تأثير دال إحصائيًا عند مستوى (≤ 0.05) للتفاعل بين نمط حشد المصادر والزمن على مقياس حل المشكلات الأخلاقية البيوطبية."*</w:t>
      </w:r>
    </w:p>
    <w:p>
      <w:pPr>
        <w:bidi/>
        <w:spacing w:line="360" w:lineRule="auto"/>
        <w:ind w:firstLine="720"/>
        <w:jc w:val="both"/>
      </w:pPr>
      <w:r>
        <w:rFonts w:cs="Simplified Arabic" w:ascii="Simplified Arabic" w:hAnsi="Simplified Arabic"/>
        <w:rPr>
          <w:rFonts w:ascii="Simplified Arabic" w:hAnsi="Simplified Arabic"/>
          <w:b w:val="0"/>
          <w:sz w:val="28"/>
        </w:rPr>
        <w:t>أشارت نتائج تحليل التباين الثنائي للتفاعل (نمط الحشد × الزمن) إلى أن قيمة (F) بلغت (0.139) وبمستوى دلالة (.710)، وهي غير دالة إحصائياً، بحجم أثر يبلغ (0.002). وعليه، يتم قبول الفرض الصفري الثالث، حيث لم يتشكل تأثير تفاعلي مركب ومختلف جوهرياً نتيجة دمج متغير النمط مع متغير الزمن على درجات حل المشكلات.</w:t>
      </w:r>
    </w:p>
    <w:p>
      <w:pPr>
        <w:bidi/>
        <w:jc w:val="right"/>
      </w:pPr>
      <w:r>
        <w:rFonts w:cs="Simplified Arabic" w:ascii="Simplified Arabic" w:hAnsi="Simplified Arabic"/>
        <w:rPr>
          <w:rFonts w:ascii="Simplified Arabic" w:hAnsi="Simplified Arabic"/>
          <w:b/>
          <w:sz w:val="28"/>
        </w:rPr>
        <w:t>5. نتائج اختبار فروض البحث المتعلقة بمتغير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الفرض الرابع:</w:t>
      </w:r>
    </w:p>
    <w:p>
      <w:pPr>
        <w:bidi/>
        <w:spacing w:line="360" w:lineRule="auto"/>
        <w:ind w:firstLine="720"/>
        <w:jc w:val="both"/>
      </w:pPr>
      <w:r>
        <w:rFonts w:cs="Simplified Arabic" w:ascii="Simplified Arabic" w:hAnsi="Simplified Arabic"/>
        <w:rPr>
          <w:rFonts w:ascii="Simplified Arabic" w:hAnsi="Simplified Arabic"/>
          <w:b w:val="0"/>
          <w:sz w:val="28"/>
        </w:rPr>
        <w:t>ينص الفرض الرابع على أنه: *"لا يوجد فرق دال إحصائيًا عند مستوى (≤ 0.05) بين متوسطات درجات طلاب المجموعات التجريبية في القياس البعدي لمقياس التدفق الذهني يرجع للتأثير الرئيسي لنمط حشد المصادر (تنافسي / تشاركي)."*</w:t>
      </w:r>
    </w:p>
    <w:p>
      <w:pPr>
        <w:bidi/>
        <w:spacing w:line="360" w:lineRule="auto"/>
        <w:ind w:firstLine="720"/>
        <w:jc w:val="both"/>
      </w:pPr>
      <w:r>
        <w:rFonts w:cs="Simplified Arabic" w:ascii="Simplified Arabic" w:hAnsi="Simplified Arabic"/>
        <w:rPr>
          <w:rFonts w:ascii="Simplified Arabic" w:hAnsi="Simplified Arabic"/>
          <w:b w:val="0"/>
          <w:sz w:val="28"/>
        </w:rPr>
        <w:t>جاءت قيمة (F) للتأثير الرئيسي لنمط الحشد على مقياس التدفق الذهني (4.45) بمستوى دلالة (.038)، وهي دالة إحصائياً عند مستوى (0.05). وبلغ حجم الأثر (مربع إيتا η²) (0.056) وهو ذو تأثير متوسط. وعليه، يتم رفض الفرض الصفري الرابع وقبول الفرض البديل، لصالح نمط الحشد التشاركي الذي تفوق على النمط التنافسي في تنمية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الفرض الخامس:</w:t>
      </w:r>
    </w:p>
    <w:p>
      <w:pPr>
        <w:bidi/>
        <w:spacing w:line="360" w:lineRule="auto"/>
        <w:ind w:firstLine="720"/>
        <w:jc w:val="both"/>
      </w:pPr>
      <w:r>
        <w:rFonts w:cs="Simplified Arabic" w:ascii="Simplified Arabic" w:hAnsi="Simplified Arabic"/>
        <w:rPr>
          <w:rFonts w:ascii="Simplified Arabic" w:hAnsi="Simplified Arabic"/>
          <w:b w:val="0"/>
          <w:sz w:val="28"/>
        </w:rPr>
        <w:t>ينص الفرض الخامس على أنه: *"لا يوجد فرق دال إحصائيًا عند مستوى (≤ 0.05) بين متوسطات درجات طلاب المجموعات التجريبية في القياس البعدي لمقياس التدفق الذهني يرجع للتأثير الرئيسي للزمن (محدد / مفتوح)."*</w:t>
      </w:r>
    </w:p>
    <w:p>
      <w:pPr>
        <w:bidi/>
        <w:spacing w:line="360" w:lineRule="auto"/>
        <w:ind w:firstLine="720"/>
        <w:jc w:val="both"/>
      </w:pPr>
      <w:r>
        <w:rFonts w:cs="Simplified Arabic" w:ascii="Simplified Arabic" w:hAnsi="Simplified Arabic"/>
        <w:rPr>
          <w:rFonts w:ascii="Simplified Arabic" w:hAnsi="Simplified Arabic"/>
          <w:b w:val="0"/>
          <w:sz w:val="28"/>
        </w:rPr>
        <w:t>أظهرت نتائج تحليل التباين الثنائي أن التأثير الرئيسي للزمن على التدفق الذهني سجل قيمة (F) قدرها (15.52) وبمستوى دلالة (.000)، وهي دالة إحصائياً وبحجم أثر كبير بلغ (0.171). وبذلك، يتم رفض الفرض الصفري الخامس وقبول الفرض البديل، لصالح الزمن المفتوح الذي ساهم بشكل ملحوظ في تعزيز مستويات التدفق الذهني لدى الطلاب مقارنة بالزمن المحدد.</w:t>
      </w:r>
    </w:p>
    <w:p>
      <w:pPr>
        <w:bidi/>
        <w:spacing w:line="360" w:lineRule="auto"/>
        <w:ind w:firstLine="720"/>
        <w:jc w:val="both"/>
      </w:pPr>
      <w:r>
        <w:rFonts w:cs="Simplified Arabic" w:ascii="Simplified Arabic" w:hAnsi="Simplified Arabic"/>
        <w:rPr>
          <w:rFonts w:ascii="Simplified Arabic" w:hAnsi="Simplified Arabic"/>
          <w:b w:val="0"/>
          <w:sz w:val="28"/>
        </w:rPr>
        <w:t>الفرض السادس:</w:t>
      </w:r>
    </w:p>
    <w:p>
      <w:pPr>
        <w:bidi/>
        <w:spacing w:line="360" w:lineRule="auto"/>
        <w:ind w:firstLine="720"/>
        <w:jc w:val="both"/>
      </w:pPr>
      <w:r>
        <w:rFonts w:cs="Simplified Arabic" w:ascii="Simplified Arabic" w:hAnsi="Simplified Arabic"/>
        <w:rPr>
          <w:rFonts w:ascii="Simplified Arabic" w:hAnsi="Simplified Arabic"/>
          <w:b w:val="0"/>
          <w:sz w:val="28"/>
        </w:rPr>
        <w:t>ينص الفرض السادس على أنه: *"لا يوجد تأثير دال إحصائيًا عند مستوى (≤ 0.05) للتفاعل بين نمط حشد المصادر والزمن على 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أشارت النتائج إلى أن قيمة (F) للتفاعل بين (النمط × الزمن) بلغت (0.126) بمستوى دلالة (.723)، وهي غير دالة إحصائياً بحجم أثر (0.002). وبناءً عليه، يتم قبول الفرض الصفري السادس، مما يؤكد أن التأثيرات التي أحدثها كل متغير كانت مستقلة في جوهرها ولم ينتج عن تضافرهما أثر تفاعلي جوهري جديد.</w:t>
      </w:r>
    </w:p>
    <w:p>
      <w:pPr>
        <w:bidi/>
        <w:jc w:val="right"/>
      </w:pPr>
      <w:r>
        <w:rFonts w:cs="Simplified Arabic" w:ascii="Simplified Arabic" w:hAnsi="Simplified Arabic"/>
        <w:rPr>
          <w:rFonts w:ascii="Simplified Arabic" w:hAnsi="Simplified Arabic"/>
          <w:b/>
          <w:sz w:val="28"/>
        </w:rPr>
        <w:t>ثالثًا: تفسير نتائج البحث ومناقشتها</w:t>
      </w:r>
    </w:p>
    <w:p>
      <w:pPr>
        <w:bidi/>
        <w:spacing w:line="360" w:lineRule="auto"/>
        <w:ind w:firstLine="720"/>
        <w:jc w:val="both"/>
      </w:pPr>
      <w:r>
        <w:rFonts w:cs="Simplified Arabic" w:ascii="Simplified Arabic" w:hAnsi="Simplified Arabic"/>
        <w:rPr>
          <w:rFonts w:ascii="Simplified Arabic" w:hAnsi="Simplified Arabic"/>
          <w:b w:val="0"/>
          <w:sz w:val="28"/>
        </w:rPr>
        <w:t>يعمد الباحث في هذا القسم إلى مناقشة وتفسير النتائج الكمية التي أسفر عنها التحليل الإحصائي، وتدعيمها بنتائج التحليل الكيفي المستمدة من أدوات التتبع (لوحة التحكم ببيئة التعلم الإلكتروني) واستطلاع رأي الطلاب؛ وذلك لتقديم رؤية شاملة وواضحة لأثر المتغيرات المستقلة (نمط حشد المصادر والزمن) على المتغيرات التابعة (حل المشكلات والتدفق الذهني) في ضوء النظريات الخمس المعتمدة في الإطار النظري.</w:t>
      </w:r>
    </w:p>
    <w:p>
      <w:pPr>
        <w:bidi/>
        <w:jc w:val="right"/>
      </w:pPr>
      <w:r>
        <w:rFonts w:cs="Simplified Arabic" w:ascii="Simplified Arabic" w:hAnsi="Simplified Arabic"/>
        <w:rPr>
          <w:rFonts w:ascii="Simplified Arabic" w:hAnsi="Simplified Arabic"/>
          <w:b/>
          <w:sz w:val="28"/>
        </w:rPr>
        <w:t>1. تفسير النتائج المتعلقة بـ "نمط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أظهرت النتائج تفوق نمط حشد المصادر "التشاركي" بشكل جوهري ودال إحصائياً على النمط "التنافسي" في تنمية كل من مهارات حل المشكلات الأخلاقية البيوطبية ومستوى التدفق الذهني. ويمكن عزو وتفسير هذه النتيجة للأسباب العلمية والنظرية التالية:</w:t>
      </w:r>
    </w:p>
    <w:p>
      <w:pPr>
        <w:pStyle w:val="ListBullet"/>
        <w:bidi/>
        <w:jc w:val="both"/>
      </w:pPr>
      <w:r>
        <w:rFonts w:cs="Simplified Arabic" w:ascii="Simplified Arabic" w:hAnsi="Simplified Arabic"/>
        <w:rPr>
          <w:rFonts w:ascii="Simplified Arabic" w:hAnsi="Simplified Arabic"/>
          <w:b w:val="0"/>
          <w:sz w:val="28"/>
        </w:rPr>
        <w:t>في ضوء نظرية المعرفة الموزعة (Distributed Cognition): أتاح النمط التشاركي للمتعلمين توزيع العبء المعرفي للمشكلات البيوطبية المعقدة فيما بينهم، واستفاد كل طالب من المصادر التي حشدها زملاؤه. وقد أسهم هذا العقل الجمعي في تفكيك المشكلة بشكل أفضل من الجهد الفردي الذي غلب على النمط التنافسي.</w:t>
      </w:r>
    </w:p>
    <w:p>
      <w:pPr>
        <w:pStyle w:val="ListBullet"/>
        <w:bidi/>
        <w:jc w:val="both"/>
      </w:pPr>
      <w:r>
        <w:rFonts w:cs="Simplified Arabic" w:ascii="Simplified Arabic" w:hAnsi="Simplified Arabic"/>
        <w:rPr>
          <w:rFonts w:ascii="Simplified Arabic" w:hAnsi="Simplified Arabic"/>
          <w:b w:val="0"/>
          <w:sz w:val="28"/>
        </w:rPr>
        <w:t>في ضوء النظرية الاتصالية (Connectivism): بُني النمط التشاركي على فكرة التفاعل المستمر وبناء شبكات من المعرفة. وقد أظهرت بيانات لوحة التحكم أن المجموعات التشاركية تفوقت في "نسبة المساهمات التراكمية"، حيث اعتبر الطلاب أن معرفة أقرانهم هي امتداد لمعرفتهم الخاصة.</w:t>
      </w:r>
    </w:p>
    <w:p>
      <w:pPr>
        <w:pStyle w:val="ListBullet"/>
        <w:bidi/>
        <w:jc w:val="both"/>
      </w:pPr>
      <w:r>
        <w:rFonts w:cs="Simplified Arabic" w:ascii="Simplified Arabic" w:hAnsi="Simplified Arabic"/>
        <w:rPr>
          <w:rFonts w:ascii="Simplified Arabic" w:hAnsi="Simplified Arabic"/>
          <w:b w:val="0"/>
          <w:sz w:val="28"/>
        </w:rPr>
        <w:t>في ضوء نظرية الدوافع (Motivation Theory): رغم أن النمط التنافسي حفّز دافعية بعض الطلاب للحصول على المراكز الأولى في (Leaderboard)، إلا أنه خلق نوعاً من القلق والتوتر لدى آخرين. وفي المقابل، وفّر النمط التشاركي الدعم الاجتماعي والأمان النفسي الذي عزز الدافعية الداخلية للتعلم، وهو ما تجلى بوضوح في ارتفاع متوسط التدفق الذهني لديهم.</w:t>
      </w:r>
    </w:p>
    <w:p>
      <w:pPr>
        <w:bidi/>
        <w:jc w:val="right"/>
      </w:pPr>
      <w:r>
        <w:rFonts w:cs="Simplified Arabic" w:ascii="Simplified Arabic" w:hAnsi="Simplified Arabic"/>
        <w:rPr>
          <w:rFonts w:ascii="Simplified Arabic" w:hAnsi="Simplified Arabic"/>
          <w:b/>
          <w:sz w:val="28"/>
        </w:rPr>
        <w:t>2. تفسير النتائج المتعلقة بـ "الزمن"</w:t>
      </w:r>
    </w:p>
    <w:p>
      <w:pPr>
        <w:bidi/>
        <w:spacing w:line="360" w:lineRule="auto"/>
        <w:ind w:firstLine="720"/>
        <w:jc w:val="both"/>
      </w:pPr>
      <w:r>
        <w:rFonts w:cs="Simplified Arabic" w:ascii="Simplified Arabic" w:hAnsi="Simplified Arabic"/>
        <w:rPr>
          <w:rFonts w:ascii="Simplified Arabic" w:hAnsi="Simplified Arabic"/>
          <w:b w:val="0"/>
          <w:sz w:val="28"/>
        </w:rPr>
        <w:t>أسفرت النتائج عن عدم وجود تأثير دال إحصائياً للزمن (محدد مقابل مفتوح) على مهارة حل المشكلات، بينما ظهر أثر إيجابي قوي ودال إحصائياً لصالح الزمن "المفتوح" في تعزيز "التدفق الذهني". ويمكن تفسير ذلك كما يلي:</w:t>
      </w:r>
    </w:p>
    <w:p>
      <w:pPr>
        <w:pStyle w:val="ListBullet"/>
        <w:bidi/>
        <w:jc w:val="both"/>
      </w:pPr>
      <w:r>
        <w:rFonts w:cs="Simplified Arabic" w:ascii="Simplified Arabic" w:hAnsi="Simplified Arabic"/>
        <w:rPr>
          <w:rFonts w:ascii="Simplified Arabic" w:hAnsi="Simplified Arabic"/>
          <w:b w:val="0"/>
          <w:sz w:val="28"/>
        </w:rPr>
        <w:t>في ضوء نظرية التدفق الذهني (Flow Theory): يشترط نموذج التدفق الاستغراق الكامل والشعور بالمتعة ونسيان الذات والمكان. وقد وفر الزمن "المفتوح" مساحة حرة للمتعلمين للتأمل والبحث والاستكشاف دون ضغط "عداد الوقت"، مما أدى إلى تحقيق مستويات أعلى في أبعاد نسيان الزمان والمكان، والأداء التلقائي المتصل بالشعور بالمتعة.</w:t>
      </w:r>
    </w:p>
    <w:p>
      <w:pPr>
        <w:pStyle w:val="ListBullet"/>
        <w:bidi/>
        <w:jc w:val="both"/>
      </w:pPr>
      <w:r>
        <w:rFonts w:cs="Simplified Arabic" w:ascii="Simplified Arabic" w:hAnsi="Simplified Arabic"/>
        <w:rPr>
          <w:rFonts w:ascii="Simplified Arabic" w:hAnsi="Simplified Arabic"/>
          <w:b w:val="0"/>
          <w:sz w:val="28"/>
        </w:rPr>
        <w:t>التأثير على حل المشكلات: يعود عدم وجود فروق دالة إحصائياً في حل المشكلات بناءً على الزمن إلى التزام الطلاب في المجموعتين بإنهاء الخطوات الأكاديمية لحل المشكلات. فرغم أن الضغط الزمني (المحدد) رفع من سرعة الإنجاز (كما سنرى في التحليل الكيفي)، إلا أن الدقة المعرفية النهائية كانت متقاربة في كليهما لأن البناء المعرفي للمشكلة تم معالجته بشكل كامل.</w:t>
      </w:r>
    </w:p>
    <w:p>
      <w:pPr>
        <w:bidi/>
        <w:jc w:val="right"/>
      </w:pPr>
      <w:r>
        <w:rFonts w:cs="Simplified Arabic" w:ascii="Simplified Arabic" w:hAnsi="Simplified Arabic"/>
        <w:rPr>
          <w:rFonts w:ascii="Simplified Arabic" w:hAnsi="Simplified Arabic"/>
          <w:b/>
          <w:sz w:val="28"/>
        </w:rPr>
        <w:t>3. تفسير انعدام التفاعل المعنوي (نمط الحشد × الزمن)</w:t>
      </w:r>
    </w:p>
    <w:p>
      <w:pPr>
        <w:bidi/>
        <w:spacing w:line="360" w:lineRule="auto"/>
        <w:ind w:firstLine="720"/>
        <w:jc w:val="both"/>
      </w:pPr>
      <w:r>
        <w:rFonts w:cs="Simplified Arabic" w:ascii="Simplified Arabic" w:hAnsi="Simplified Arabic"/>
        <w:rPr>
          <w:rFonts w:ascii="Simplified Arabic" w:hAnsi="Simplified Arabic"/>
          <w:b w:val="0"/>
          <w:sz w:val="28"/>
        </w:rPr>
        <w:t>عدم وجود تأثير تفاعلي دال يعود لكون كل متغير قد مارس تأثيره بشكل مستقل ומستقر نسبياً. فالتشاركية مارست تأثيرها البنّاء بفضل ديناميات المجموعة (معرفة موزعة) بغض النظر عن الزمن المتاح. بينما مارس الزمن المفتوح تأثيره المباشر على الحالة النفسية والتدفق الذهني بمعزل عن طبيعة التفاعل (فردي أو تشاركي). هذا الاستقلال يتماشى مع "نظرية السلوك المخطط"، حيث انصبت النية السلوكية للطلاب على الهدف المنوط بهم في إطار معطيات بيئتهم دون تداخل مشتت بين المتغيرين.</w:t>
      </w:r>
    </w:p>
    <w:p>
      <w:pPr>
        <w:bidi/>
        <w:jc w:val="right"/>
      </w:pPr>
      <w:r>
        <w:rFonts w:cs="Simplified Arabic" w:ascii="Simplified Arabic" w:hAnsi="Simplified Arabic"/>
        <w:rPr>
          <w:rFonts w:ascii="Simplified Arabic" w:hAnsi="Simplified Arabic"/>
          <w:b/>
          <w:sz w:val="28"/>
        </w:rPr>
        <w:t>4. التحليل الكيفي لبيانات البحث (استكمالاً لتفسير النتائج)</w:t>
      </w:r>
    </w:p>
    <w:p>
      <w:pPr>
        <w:bidi/>
        <w:spacing w:line="360" w:lineRule="auto"/>
        <w:ind w:firstLine="720"/>
        <w:jc w:val="both"/>
      </w:pPr>
      <w:r>
        <w:rFonts w:cs="Simplified Arabic" w:ascii="Simplified Arabic" w:hAnsi="Simplified Arabic"/>
        <w:rPr>
          <w:rFonts w:ascii="Simplified Arabic" w:hAnsi="Simplified Arabic"/>
          <w:b w:val="0"/>
          <w:sz w:val="28"/>
        </w:rPr>
        <w:t>لإعطاء عمق وتفسير إضافي للنتائج الإحصائية، قام الباحث بجمع بيانات نوعية من خلال تتبع سلوك الطلاب (Log Files) ببيئة التعلم (لوحة التحكم)، ومن خلال استطلاعات الرأي التفاعلية.</w:t>
      </w:r>
    </w:p>
    <w:p>
      <w:pPr>
        <w:bidi/>
        <w:spacing w:line="360" w:lineRule="auto"/>
        <w:ind w:firstLine="720"/>
        <w:jc w:val="both"/>
      </w:pPr>
      <w:r>
        <w:rFonts w:cs="Simplified Arabic" w:ascii="Simplified Arabic" w:hAnsi="Simplified Arabic"/>
        <w:rPr>
          <w:rFonts w:ascii="Simplified Arabic" w:hAnsi="Simplified Arabic"/>
          <w:b w:val="0"/>
          <w:sz w:val="28"/>
        </w:rPr>
        <w:t>أولاً: تحليل بيانات لوحة التحكم ببيئة التعلم الإلكتروني</w:t>
      </w:r>
    </w:p>
    <w:p>
      <w:pPr>
        <w:pStyle w:val="ListBullet"/>
        <w:bidi/>
        <w:jc w:val="both"/>
      </w:pPr>
      <w:r>
        <w:rFonts w:cs="Simplified Arabic" w:ascii="Simplified Arabic" w:hAnsi="Simplified Arabic"/>
        <w:rPr>
          <w:rFonts w:ascii="Simplified Arabic" w:hAnsi="Simplified Arabic"/>
          <w:b w:val="0"/>
          <w:sz w:val="28"/>
        </w:rPr>
        <w:t>للمجموعات التنافسية: أظهرت بيانات لوحة التحكم أن متوسط إنجاز المهام بلغ (69.98%). كما بلغ متوسط المهام المتأخرة (0.95 مهمة من أصل 5 مهام)، مما يعكس سرعة نسبية في الإنجاز صاحبها إغفال بعض المهام. وغلب على الطلاب نمط التفاعل "الفردي المتنافس"، وسعت نسبة كبيرة منهم لجمع النقاط سريعاً للوصول إلى أعلى الترتيب، وهو ما رفع من وتيرة التنافس وأقلّ من التعليقات المشتركة.</w:t>
      </w:r>
    </w:p>
    <w:p>
      <w:pPr>
        <w:pStyle w:val="ListBullet"/>
        <w:bidi/>
        <w:jc w:val="both"/>
      </w:pPr>
      <w:r>
        <w:rFonts w:cs="Simplified Arabic" w:ascii="Simplified Arabic" w:hAnsi="Simplified Arabic"/>
        <w:rPr>
          <w:rFonts w:ascii="Simplified Arabic" w:hAnsi="Simplified Arabic"/>
          <w:b w:val="0"/>
          <w:sz w:val="28"/>
        </w:rPr>
        <w:t>للمجموعات التشاركية: حققت هذه المجموعات متوسط إنجاز للمهام بلغ (81.36%)، وهو أعلى من المجموعات التنافسية. وانخفض متوسط تأخير تسليم المهام إلى (0.57 مهمة من أصل 5)، مما يدل على التزام ومسؤولية جماعية أعلى. وتميز نمط التفاعل بالمناقشة المستمرة للوصول لأفضل الحلول المشتركة، حيث بنى الطلاب أفكارهم على مساهمات زملائهم بوضوح تام.</w:t>
      </w:r>
    </w:p>
    <w:p>
      <w:pPr>
        <w:pStyle w:val="ListBullet"/>
        <w:bidi/>
        <w:jc w:val="both"/>
      </w:pPr>
      <w:r>
        <w:rFonts w:cs="Simplified Arabic" w:ascii="Simplified Arabic" w:hAnsi="Simplified Arabic"/>
        <w:rPr>
          <w:rFonts w:ascii="Simplified Arabic" w:hAnsi="Simplified Arabic"/>
          <w:b w:val="0"/>
          <w:sz w:val="28"/>
        </w:rPr>
        <w:t>أثر الزمن (المحدد مقابل المفتوح): بلغ متوسط تأخير المهام في مجموعات الزمن المحدد (1.52 مهمة)، مما يعكس وجود ضغط زمني أدى إلى تأخر البعض في التسليم النهائي. في المقابل، انعدمت حالات التأخير في مجموعات الزمن المفتوح (0.00 مهمة متأخرة)، حيث أُتيح للطلاب وقت مرن وممتد لاستكمال المهام بأريحية تامة.</w:t>
      </w:r>
    </w:p>
    <w:p>
      <w:pPr>
        <w:bidi/>
        <w:spacing w:line="360" w:lineRule="auto"/>
        <w:ind w:firstLine="720"/>
        <w:jc w:val="both"/>
      </w:pPr>
      <w:r>
        <w:rFonts w:cs="Simplified Arabic" w:ascii="Simplified Arabic" w:hAnsi="Simplified Arabic"/>
        <w:rPr>
          <w:rFonts w:ascii="Simplified Arabic" w:hAnsi="Simplified Arabic"/>
          <w:b w:val="0"/>
          <w:sz w:val="28"/>
        </w:rPr>
        <w:t>ثانياً: استطلاع رأي الطلاب</w:t>
      </w:r>
    </w:p>
    <w:p>
      <w:pPr>
        <w:bidi/>
        <w:spacing w:line="360" w:lineRule="auto"/>
        <w:ind w:firstLine="720"/>
        <w:jc w:val="both"/>
      </w:pPr>
      <w:r>
        <w:rFonts w:cs="Simplified Arabic" w:ascii="Simplified Arabic" w:hAnsi="Simplified Arabic"/>
        <w:rPr>
          <w:rFonts w:ascii="Simplified Arabic" w:hAnsi="Simplified Arabic"/>
          <w:b w:val="0"/>
          <w:sz w:val="28"/>
        </w:rPr>
        <w:t>أكدت اقتباسات الطلاب وتعليقاتهم النوعية ما أسفرت عنه التحليلات الرقمية:</w:t>
      </w:r>
    </w:p>
    <w:p>
      <w:pPr>
        <w:pStyle w:val="ListBullet"/>
        <w:bidi/>
        <w:jc w:val="both"/>
      </w:pPr>
      <w:r>
        <w:rFonts w:cs="Simplified Arabic" w:ascii="Simplified Arabic" w:hAnsi="Simplified Arabic"/>
        <w:rPr>
          <w:rFonts w:ascii="Simplified Arabic" w:hAnsi="Simplified Arabic"/>
          <w:b w:val="0"/>
          <w:sz w:val="28"/>
        </w:rPr>
        <w:t>حول النمط التشاركي: أشار الطلاب (ع. م) و (م. ك): "نمط حشد المصادر التشاركي أتاح لنا فرصة التعاون مع زملائنا وتبادل الأفكار لدرجة أننا كنا نصحح أخطاء بعضنا البعض قبل التسليم النهائي". وأضاف (أ. س): "الشعور بأن كل فرد يساهم في إنجاح المجموعة كان محفزاً جداً".</w:t>
      </w:r>
    </w:p>
    <w:p>
      <w:pPr>
        <w:pStyle w:val="ListBullet"/>
        <w:bidi/>
        <w:jc w:val="both"/>
      </w:pPr>
      <w:r>
        <w:rFonts w:cs="Simplified Arabic" w:ascii="Simplified Arabic" w:hAnsi="Simplified Arabic"/>
        <w:rPr>
          <w:rFonts w:ascii="Simplified Arabic" w:hAnsi="Simplified Arabic"/>
          <w:b w:val="0"/>
          <w:sz w:val="28"/>
        </w:rPr>
        <w:t>حول النمط التنافسي: ذكر (س. ح): "التنافس في لوحة الصدارة دفعني لبذل مجهود مضاعف لكي أحافظ على مركزي الأول". بينما عبر (م. ن): "أحياناً كان التنافس يمنعني من مشاركة مصادري مع زملائي خوفاً من أن يتفوقوا عليّ".</w:t>
      </w:r>
    </w:p>
    <w:p>
      <w:pPr>
        <w:pStyle w:val="ListBullet"/>
        <w:bidi/>
        <w:jc w:val="both"/>
      </w:pPr>
      <w:r>
        <w:rFonts w:cs="Simplified Arabic" w:ascii="Simplified Arabic" w:hAnsi="Simplified Arabic"/>
        <w:rPr>
          <w:rFonts w:ascii="Simplified Arabic" w:hAnsi="Simplified Arabic"/>
          <w:b w:val="0"/>
          <w:sz w:val="28"/>
        </w:rPr>
        <w:t>حول الزمن (المحدد/المفتوح): أوضح (خ. أ): "الزمن المحدد ساعدني على التركيز التام وتجنب التشتت، ولكنه وضعني تحت ضغط مستمر". في المقابل أشار (ي. ر): "الوقت المفتوح أتاح لي وقتاً كافياً للتفكير العميق في المشكلات الفلسفية المعقدة دون الاستعجال، مما جعلني أستمتع بالعمل أكثر، وهو ما جعلني أنسى الزمن".</w:t>
      </w:r>
    </w:p>
    <w:p>
      <w:pPr>
        <w:bidi/>
        <w:spacing w:line="360" w:lineRule="auto"/>
        <w:ind w:firstLine="720"/>
        <w:jc w:val="both"/>
      </w:pPr>
      <w:r>
        <w:rFonts w:cs="Simplified Arabic" w:ascii="Simplified Arabic" w:hAnsi="Simplified Arabic"/>
        <w:rPr>
          <w:rFonts w:ascii="Simplified Arabic" w:hAnsi="Simplified Arabic"/>
          <w:b w:val="0"/>
          <w:sz w:val="28"/>
        </w:rPr>
        <w:t>ثالثاً: السلبيات والاقتراحات من منظور الطلاب</w:t>
      </w:r>
    </w:p>
    <w:p>
      <w:pPr>
        <w:pStyle w:val="ListNumber"/>
        <w:bidi/>
        <w:jc w:val="both"/>
      </w:pPr>
      <w:r>
        <w:rFonts w:cs="Simplified Arabic" w:ascii="Simplified Arabic" w:hAnsi="Simplified Arabic"/>
        <w:rPr>
          <w:rFonts w:ascii="Simplified Arabic" w:hAnsi="Simplified Arabic"/>
          <w:b w:val="0"/>
          <w:sz w:val="28"/>
        </w:rPr>
        <w:t>السلبيات: اشتكى بعض طلاب المجموعة التنافسية من الإحباط عند تأخرهم في الترتيب، كما اشتكى طلاب الزمن المحدد من "التوتر تحت الضغط". وفي المجموعات ذات الزمن المفتوح، أشار البعض إلى "الشعور بالكسل أحياناً لعدم وجود موعد نهائي صارم".</w:t>
      </w:r>
    </w:p>
    <w:p>
      <w:pPr>
        <w:pStyle w:val="ListNumber"/>
        <w:bidi/>
        <w:jc w:val="both"/>
      </w:pPr>
      <w:r>
        <w:rFonts w:cs="Simplified Arabic" w:ascii="Simplified Arabic" w:hAnsi="Simplified Arabic"/>
        <w:rPr>
          <w:rFonts w:ascii="Simplified Arabic" w:hAnsi="Simplified Arabic"/>
          <w:b w:val="0"/>
          <w:sz w:val="28"/>
        </w:rPr>
        <w:t>الاقتراحات: اقترح أغلب الطلاب استخدام "نمط هجين" يجمع بين التعاون داخل المجموعات والتنافس الإيجابي بين المجموعات بشكل عام.</w:t>
      </w:r>
    </w:p>
    <w:p>
      <w:pPr>
        <w:bidi/>
        <w:jc w:val="right"/>
      </w:pPr>
      <w:r>
        <w:rFonts w:cs="Simplified Arabic" w:ascii="Simplified Arabic" w:hAnsi="Simplified Arabic"/>
        <w:rPr>
          <w:rFonts w:ascii="Simplified Arabic" w:hAnsi="Simplified Arabic"/>
          <w:b/>
          <w:sz w:val="28"/>
        </w:rPr>
        <w:t>رابعًا: مخرجات البحث</w:t>
      </w:r>
    </w:p>
    <w:p>
      <w:pPr>
        <w:bidi/>
        <w:spacing w:line="360" w:lineRule="auto"/>
        <w:ind w:firstLine="720"/>
        <w:jc w:val="both"/>
      </w:pPr>
      <w:r>
        <w:rFonts w:cs="Simplified Arabic" w:ascii="Simplified Arabic" w:hAnsi="Simplified Arabic"/>
        <w:rPr>
          <w:rFonts w:ascii="Simplified Arabic" w:hAnsi="Simplified Arabic"/>
          <w:b w:val="0"/>
          <w:sz w:val="28"/>
        </w:rPr>
        <w:t>في ضوء النتائج السابقة وتفسيراتها العملية والنظرية، يقدم البحث الحالي المخرجات التالية:</w:t>
      </w:r>
    </w:p>
    <w:p>
      <w:pPr>
        <w:pStyle w:val="ListNumber"/>
        <w:bidi/>
        <w:jc w:val="both"/>
      </w:pPr>
      <w:r>
        <w:rFonts w:cs="Simplified Arabic" w:ascii="Simplified Arabic" w:hAnsi="Simplified Arabic"/>
        <w:rPr>
          <w:rFonts w:ascii="Simplified Arabic" w:hAnsi="Simplified Arabic"/>
          <w:b w:val="0"/>
          <w:sz w:val="28"/>
        </w:rPr>
        <w:t>بيئة تعلم إلكترونية متكاملة قائمة على استراتيجية حشد المصادر (التشاركي/التنافسي) مصممة خصيصاً لتناسب خصائص طلاب المرحلة الثانوية.</w:t>
      </w:r>
    </w:p>
    <w:p>
      <w:pPr>
        <w:pStyle w:val="ListNumber"/>
        <w:bidi/>
        <w:jc w:val="both"/>
      </w:pPr>
      <w:r>
        <w:rFonts w:cs="Simplified Arabic" w:ascii="Simplified Arabic" w:hAnsi="Simplified Arabic"/>
        <w:rPr>
          <w:rFonts w:ascii="Simplified Arabic" w:hAnsi="Simplified Arabic"/>
          <w:b w:val="0"/>
          <w:sz w:val="28"/>
        </w:rPr>
        <w:t>قائمة محكمة علمياً تشمل (63 مؤشراً) تمثل المعايير التصميمية التربوية والتقنية لبناء بيئات تعلم قائمة على حشد المصادر.</w:t>
      </w:r>
    </w:p>
    <w:p>
      <w:pPr>
        <w:pStyle w:val="ListNumber"/>
        <w:bidi/>
        <w:jc w:val="both"/>
      </w:pPr>
      <w:r>
        <w:rFonts w:cs="Simplified Arabic" w:ascii="Simplified Arabic" w:hAnsi="Simplified Arabic"/>
        <w:rPr>
          <w:rFonts w:ascii="Simplified Arabic" w:hAnsi="Simplified Arabic"/>
          <w:b w:val="0"/>
          <w:sz w:val="28"/>
        </w:rPr>
        <w:t>مقياس موضوعي مقنن لقياس مهارات حل المشكلات الأخلاقية البيوطبية لدى طلاب الصف الأول الثانوي (اختبار متعدد الخيارات).</w:t>
      </w:r>
    </w:p>
    <w:p>
      <w:pPr>
        <w:pStyle w:val="ListNumber"/>
        <w:bidi/>
        <w:jc w:val="both"/>
      </w:pPr>
      <w:r>
        <w:rFonts w:cs="Simplified Arabic" w:ascii="Simplified Arabic" w:hAnsi="Simplified Arabic"/>
        <w:rPr>
          <w:rFonts w:ascii="Simplified Arabic" w:hAnsi="Simplified Arabic"/>
          <w:b w:val="0"/>
          <w:sz w:val="28"/>
        </w:rPr>
        <w:t>مقياس نفسي مقنن لقياس أبعاد التدفق الذهني الثمانية يتناسب مع طبيعة العمل عبر المنصات السحابية.</w:t>
      </w:r>
    </w:p>
    <w:p>
      <w:pPr>
        <w:bidi/>
        <w:jc w:val="right"/>
      </w:pPr>
      <w:r>
        <w:rFonts w:cs="Simplified Arabic" w:ascii="Simplified Arabic" w:hAnsi="Simplified Arabic"/>
        <w:rPr>
          <w:rFonts w:ascii="Simplified Arabic" w:hAnsi="Simplified Arabic"/>
          <w:b/>
          <w:sz w:val="28"/>
        </w:rPr>
        <w:t>خامسًا: توصيات البحث</w:t>
      </w:r>
    </w:p>
    <w:p>
      <w:pPr>
        <w:bidi/>
        <w:spacing w:line="360" w:lineRule="auto"/>
        <w:ind w:firstLine="720"/>
        <w:jc w:val="both"/>
      </w:pPr>
      <w:r>
        <w:rFonts w:cs="Simplified Arabic" w:ascii="Simplified Arabic" w:hAnsi="Simplified Arabic"/>
        <w:rPr>
          <w:rFonts w:ascii="Simplified Arabic" w:hAnsi="Simplified Arabic"/>
          <w:b w:val="0"/>
          <w:sz w:val="28"/>
        </w:rPr>
        <w:t>بناءً على نتائج هذا البحث وما قدمه من مخرجات، يوصي الباحث بما يلي:</w:t>
      </w:r>
    </w:p>
    <w:p>
      <w:pPr>
        <w:pStyle w:val="ListNumber"/>
        <w:bidi/>
        <w:jc w:val="both"/>
      </w:pPr>
      <w:r>
        <w:rFonts w:cs="Simplified Arabic" w:ascii="Simplified Arabic" w:hAnsi="Simplified Arabic"/>
        <w:rPr>
          <w:rFonts w:ascii="Simplified Arabic" w:hAnsi="Simplified Arabic"/>
          <w:b w:val="0"/>
          <w:sz w:val="28"/>
        </w:rPr>
        <w:t>ضرورة التوسع في استخدام "نمط حشد المصادر التشاركي" في المقررات التي تتطلب عمقاً معرفياً وتعاوناً، مثل الفلسفة والمقررات الإنسانية، نظراً لأثره الكبير في تحسين جودة المخرجات وتنمية القدرة على حل المشكلات.</w:t>
      </w:r>
    </w:p>
    <w:p>
      <w:pPr>
        <w:pStyle w:val="ListNumber"/>
        <w:bidi/>
        <w:jc w:val="both"/>
      </w:pPr>
      <w:r>
        <w:rFonts w:cs="Simplified Arabic" w:ascii="Simplified Arabic" w:hAnsi="Simplified Arabic"/>
        <w:rPr>
          <w:rFonts w:ascii="Simplified Arabic" w:hAnsi="Simplified Arabic"/>
          <w:b w:val="0"/>
          <w:sz w:val="28"/>
        </w:rPr>
        <w:t>إتاحة مساحة "الزمن المفتوح" والمرونة عند تصميم أنشطة تتطلب دمجاً عالياً وتدفقاً ذهنياً، لتجنيب المتعلمين التوتر الناتج عن الضغط الزمني.</w:t>
      </w:r>
    </w:p>
    <w:p>
      <w:pPr>
        <w:pStyle w:val="ListNumber"/>
        <w:bidi/>
        <w:jc w:val="both"/>
      </w:pPr>
      <w:r>
        <w:rFonts w:cs="Simplified Arabic" w:ascii="Simplified Arabic" w:hAnsi="Simplified Arabic"/>
        <w:rPr>
          <w:rFonts w:ascii="Simplified Arabic" w:hAnsi="Simplified Arabic"/>
          <w:b w:val="0"/>
          <w:sz w:val="28"/>
        </w:rPr>
        <w:t>تدريب معلمي المرحلة الثانوية على كيفية إدارة وتوجيه أنشطة حشد المصادر السحابية لتوظيف العقل الجمعي للطلاب بشكل إيجابي.</w:t>
      </w:r>
    </w:p>
    <w:p>
      <w:pPr>
        <w:pStyle w:val="ListNumber"/>
        <w:bidi/>
        <w:jc w:val="both"/>
      </w:pPr>
      <w:r>
        <w:rFonts w:cs="Simplified Arabic" w:ascii="Simplified Arabic" w:hAnsi="Simplified Arabic"/>
        <w:rPr>
          <w:rFonts w:ascii="Simplified Arabic" w:hAnsi="Simplified Arabic"/>
          <w:b w:val="0"/>
          <w:sz w:val="28"/>
        </w:rPr>
        <w:t>تبني قائمة معايير التصميم التي توصل إليها هذا البحث كمرجعية إرشادية عند تخطيط وبناء منصات التعلم الإلكتروني في وزارة التربية والتعليم.</w:t>
      </w:r>
    </w:p>
    <w:p>
      <w:pPr>
        <w:bidi/>
        <w:jc w:val="right"/>
      </w:pPr>
      <w:r>
        <w:rFonts w:cs="Simplified Arabic" w:ascii="Simplified Arabic" w:hAnsi="Simplified Arabic"/>
        <w:rPr>
          <w:rFonts w:ascii="Simplified Arabic" w:hAnsi="Simplified Arabic"/>
          <w:b/>
          <w:sz w:val="28"/>
        </w:rPr>
        <w:t>سادسًا: مقترحات البحث (البحوث المقترحة)</w:t>
      </w:r>
    </w:p>
    <w:p>
      <w:pPr>
        <w:bidi/>
        <w:spacing w:line="360" w:lineRule="auto"/>
        <w:ind w:firstLine="720"/>
        <w:jc w:val="both"/>
      </w:pPr>
      <w:r>
        <w:rFonts w:cs="Simplified Arabic" w:ascii="Simplified Arabic" w:hAnsi="Simplified Arabic"/>
        <w:rPr>
          <w:rFonts w:ascii="Simplified Arabic" w:hAnsi="Simplified Arabic"/>
          <w:b w:val="0"/>
          <w:sz w:val="28"/>
        </w:rPr>
        <w:t>امتداداً لنتائج هذا البحث، وفي ضوء ما كشفت عنه الإجراءات والمناقشات من قضايا بحثية تستحق الدراسة، يقترح الباحث إجراء الدراسات التالية:</w:t>
      </w:r>
    </w:p>
    <w:p>
      <w:pPr>
        <w:pStyle w:val="ListNumber"/>
        <w:bidi/>
        <w:jc w:val="both"/>
      </w:pPr>
      <w:r>
        <w:rFonts w:cs="Simplified Arabic" w:ascii="Simplified Arabic" w:hAnsi="Simplified Arabic"/>
        <w:rPr>
          <w:rFonts w:ascii="Simplified Arabic" w:hAnsi="Simplified Arabic"/>
          <w:b w:val="0"/>
          <w:sz w:val="28"/>
        </w:rPr>
        <w:t>فاعلية بيئة تعلم إلكترونية قائمة على نمط حشد المصادر الهجين (التشاركي والتنافسي معاً) في تنمية التفكير الناقد والإبداعي.</w:t>
      </w:r>
    </w:p>
    <w:p>
      <w:pPr>
        <w:pStyle w:val="ListNumber"/>
        <w:bidi/>
        <w:jc w:val="both"/>
      </w:pPr>
      <w:r>
        <w:rFonts w:cs="Simplified Arabic" w:ascii="Simplified Arabic" w:hAnsi="Simplified Arabic"/>
        <w:rPr>
          <w:rFonts w:ascii="Simplified Arabic" w:hAnsi="Simplified Arabic"/>
          <w:b w:val="0"/>
          <w:sz w:val="28"/>
        </w:rPr>
        <w:t>أثر اختلاف أنماط حشد المصادر (الموجه/الحر) على تنمية الذكاء الجمعي وما وراء المعرفة لدى طلاب المرحلة الجامعية.</w:t>
      </w:r>
    </w:p>
    <w:p>
      <w:pPr>
        <w:pStyle w:val="ListNumber"/>
        <w:bidi/>
        <w:jc w:val="both"/>
      </w:pPr>
      <w:r>
        <w:rFonts w:cs="Simplified Arabic" w:ascii="Simplified Arabic" w:hAnsi="Simplified Arabic"/>
        <w:rPr>
          <w:rFonts w:ascii="Simplified Arabic" w:hAnsi="Simplified Arabic"/>
          <w:b w:val="0"/>
          <w:sz w:val="28"/>
        </w:rPr>
        <w:t>تفاعل نمط حشد المصادر مع متغيرات مستقلة أخرى مثل (أساليب التعلم، مستوى صعوبة المهام، أو نوع التغذية الراجعة) وأثره في نواتج التعلم.</w:t>
      </w:r>
    </w:p>
    <w:p>
      <w:pPr>
        <w:pStyle w:val="ListNumber"/>
        <w:bidi/>
        <w:jc w:val="both"/>
      </w:pPr>
      <w:r>
        <w:rFonts w:cs="Simplified Arabic" w:ascii="Simplified Arabic" w:hAnsi="Simplified Arabic"/>
        <w:rPr>
          <w:rFonts w:ascii="Simplified Arabic" w:hAnsi="Simplified Arabic"/>
          <w:b w:val="0"/>
          <w:sz w:val="28"/>
        </w:rPr>
        <w:t>إجراء دراسات طولية لتتبع بقاء أثر التدفق الذهني ومهارات حل المشكلات عند الاستخدام المستمر لبيئات حشد المصادر على مدار عام دراسي كامل.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