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دينا سعيد</w:t>
      </w:r>
    </w:p>
    <w:p>
      <w:pPr>
        <w:jc w:val="right"/>
      </w:pPr>
      <w:r>
        <w:rPr>
          <w:rFonts w:ascii="Simplified Arabic" w:hAnsi="Simplified Arabic"/>
          <w:sz w:val="20"/>
        </w:rPr>
        <w:t>المجموعة: G1 | التاريخ: 2026-03-04 17:57 | المستوى: 34%</w:t>
      </w:r>
    </w:p>
    <w:p/>
    <w:p>
      <w:pPr>
        <w:jc w:val="right"/>
      </w:pPr>
      <w:r>
        <w:rPr>
          <w:rFonts w:ascii="Simplified Arabic" w:hAnsi="Simplified Arabic"/>
          <w:sz w:val="28"/>
        </w:rPr>
        <w:t>أولاً، في مجال زراعة الأعضاء، أعلنت مصر في مارس 2023 عن إطلاق برنامج وطني للتبرع بالأعضاء بعد الوفاة. الهدف من البرنامج هو تقليل قوائم الانتظار الطويلة التي يعاني منها المرضى الذين يحتاجون إلى زراعة أعضاء، وكذلك تنظيم العملية قانونياً. هذا القرار يثير العديد من القضايا الأخلاقية حول كيفية التعامل مع الأعضاء المتبرع بها وما إذا كان هناك توازن بين حقوق المتبرعين وأولئك الذين يحتاجون للأعضاء.</w:t>
      </w:r>
    </w:p>
    <w:p>
      <w:pPr>
        <w:jc w:val="right"/>
      </w:pPr>
      <w:r>
        <w:rPr>
          <w:rFonts w:ascii="Simplified Arabic" w:hAnsi="Simplified Arabic"/>
          <w:sz w:val="28"/>
        </w:rPr>
        <w:t>ثانياً، في إسبانيا، تم تقنين الموت الرحيم في يونيو 2021. هذا القرار جعل إسبانيا خامس دولة في الاتحاد الأوروبي التي تقنن الموت الرحيم والانتحار بمساعدة طبية للمرضى المصابين بأمراض ميؤوس منها. النقاش حول هذا الموضوع يثير الكثير من الجدل حول حقوق الإنسان ومدى إمكانية تطبيق هذا القانون بطريقة عادلة وآمنة.</w:t>
      </w:r>
    </w:p>
    <w:p>
      <w:pPr>
        <w:jc w:val="right"/>
      </w:pPr>
      <w:r>
        <w:rPr>
          <w:rFonts w:ascii="Simplified Arabic" w:hAnsi="Simplified Arabic"/>
          <w:sz w:val="28"/>
        </w:rPr>
        <w:t>ثالثاً، في بريطانيا، اندلع صراع قانوني بين الأهل والمستشفى حول قطع أجهزة دعم الحياة عن طفلة متوفاة دماغياً. القضية التي حدثت في أبريل 2021 تسببت في إعادة النظر في الفرق بين الموت السريري وموت الدماغ وكيفية التعامل مع الحالات التي تعتبر موتاً دماغياً.</w:t>
      </w:r>
    </w:p>
    <w:p>
      <w:pPr>
        <w:jc w:val="right"/>
      </w:pPr>
      <w:r>
        <w:rPr>
          <w:rFonts w:ascii="Simplified Arabic" w:hAnsi="Simplified Arabic"/>
          <w:sz w:val="28"/>
        </w:rPr>
        <w:t>رابعاً، في سياق أخلاقيات البحث العلمي على البشر، ظهرت نقاشات حول سرعة الموافقة على لقاحات كورونا وتجربتها على متطوعين في الدول ذات الدخل المنخفض قبل الدول الغنية. هذا الموضوع أثار الكثير من الشكوك حول العدالة في توزيع الأدوية واللقاحات وحول كيفية التعامل مع القضايا الأخلاقية المرتبطة بالتجارب البشرية.</w:t>
      </w:r>
    </w:p>
    <w:p>
      <w:pPr>
        <w:jc w:val="right"/>
      </w:pPr>
      <w:r>
        <w:rPr>
          <w:rFonts w:ascii="Simplified Arabic" w:hAnsi="Simplified Arabic"/>
          <w:sz w:val="28"/>
        </w:rPr>
        <w:t>أخيراً، في مجال الموافقة المستنيرة، كشفت دراسة في يونيو 2024 أن 80% من التطبيقات الصحية تجمع بيانات المستخدمين الصحية وتشاركها مع أطراف ثالثة، بينما شروط الاستخدام طويلة ومعقدة لا يقرأها أحد. هذا يثير الكثير من القلق حول حماية الخصوصية والأمان الرقمي وحق المستخدمين في معرفة كيف يتم استخدام بياناتهم.</w:t>
      </w:r>
    </w:p>
    <w:p>
      <w:pPr>
        <w:jc w:val="right"/>
      </w:pPr>
      <w:r>
        <w:rPr>
          <w:rFonts w:ascii="Simplified Arabic" w:hAnsi="Simplified Arabic"/>
          <w:sz w:val="28"/>
        </w:rPr>
        <w:t>الموارد المستخدمة: موقع وزارة الصحة المصرية، موقع البرلمان الأوروبي، موقع محكمة بريطانية، موقع منظمة الصحة العالمية، موقع الأمن السيبراني الأمريكي.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