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M2 — هدى إبراهيم</w:t>
      </w:r>
    </w:p>
    <w:p>
      <w:pPr>
        <w:jc w:val="right"/>
      </w:pPr>
      <w:r>
        <w:rPr>
          <w:rFonts w:ascii="Simplified Arabic" w:hAnsi="Simplified Arabic"/>
          <w:sz w:val="20"/>
        </w:rPr>
        <w:t>المجموعة: G1 | التاريخ: 2026-03-09 18:42 | المستوى: 28%</w:t>
      </w:r>
    </w:p>
    <w:p/>
    <w:p>
      <w:pPr>
        <w:jc w:val="right"/>
      </w:pPr>
      <w:r>
        <w:rPr>
          <w:rFonts w:ascii="Simplified Arabic" w:hAnsi="Simplified Arabic"/>
          <w:sz w:val="28"/>
        </w:rPr>
        <w:t>أثناء بحثي عن أمثلة حديثة تتعلق بالقضايا الأخلاقية الرئيسية، وجدت عدة حالات تثير التفكير والنقاش. أولاً، في مجال زراعة الأعضاء، سجلت المملكة العربية السعودية رقماً قياسياً في هذا المجال حيث أجرت المركز السعودي لزراعة الأعضاء أكثر من 600 عملية زراعة خلال عام واحد فقط. هذا الإنجاز يثير تساؤلات حول مدى فعالية برامج التبرع بالأعضاء وكيف يمكننا تعزيزها بشكل أكبر.</w:t>
      </w:r>
    </w:p>
    <w:p>
      <w:pPr>
        <w:jc w:val="right"/>
      </w:pPr>
      <w:r>
        <w:rPr>
          <w:rFonts w:ascii="Simplified Arabic" w:hAnsi="Simplified Arabic"/>
          <w:sz w:val="28"/>
        </w:rPr>
        <w:t>ثانياً، استخدمت سويسرا كبسولة ساركو في عام 2021، وهي كبسولة ثلاثية الأبعاد تسمح للأشخاص بإنهاء حياتهم بضغطة زر دون تدخل طبي مباشر. هذه الخطوة أثارت جدلاً واسعاً حول أخلاقيات الموت الرحيم وكيف يمكن تنظيمها بطريقة تحترم حقوق الأفراد وتحمي المجتمع في الوقت نفسه.</w:t>
      </w:r>
    </w:p>
    <w:p>
      <w:pPr>
        <w:jc w:val="right"/>
      </w:pPr>
      <w:r>
        <w:rPr>
          <w:rFonts w:ascii="Simplified Arabic" w:hAnsi="Simplified Arabic"/>
          <w:sz w:val="28"/>
        </w:rPr>
        <w:t>ثالثاً، عاد النقاش حول موت الدماغ للواجهة بعد إعادة بث وثائقي عن حالة الطفلة جاهي مكماث الأمريكية في عام 2022. أُعلن عن وفاة الدماغ للطفلة لكن أسرتها رفضت فصل الأجهزة عنها، مما أعاد النقاش حول التعريفات والأطر القانونية المتعلقة بموت الدماغ.</w:t>
      </w:r>
    </w:p>
    <w:p>
      <w:pPr>
        <w:jc w:val="right"/>
      </w:pPr>
      <w:r>
        <w:rPr>
          <w:rFonts w:ascii="Simplified Arabic" w:hAnsi="Simplified Arabic"/>
          <w:sz w:val="28"/>
        </w:rPr>
        <w:t>رابعاً، في مجال أخلاقيات البحث العلمي على البشر، أوقفت جامعة مصرية في عام 2023 بحثاً طبياً بعد اكتشاف أن الباحثين لم يحصلوا على الموافقة المستنيرة الكافية من المشاركين. هذا يثير تساؤلات حول كيفية ضمان الأخلاقيات في الأبحاث العلمية وكيف يمكن تحسين إجراءات الموافقة المستنيرة.</w:t>
      </w:r>
    </w:p>
    <w:p>
      <w:pPr>
        <w:jc w:val="right"/>
      </w:pPr>
      <w:r>
        <w:rPr>
          <w:rFonts w:ascii="Simplified Arabic" w:hAnsi="Simplified Arabic"/>
          <w:sz w:val="28"/>
        </w:rPr>
        <w:t>أخيراً، كشفت دراسة في عام 2024 أن 80% من التطبيقات الصحية تجمع بيانات حساسة وتشاركها مع أطراف ثالثة، بينما شروط الاستخدام طويلة ومعقدة. هذا يثير قلقاً حول كيفية حماية خصوصية البيانات الصحية وكيف يمكن للمستخدمين أن يكونوا على دراية بكيفية استخدام بياناتهم.</w:t>
      </w:r>
    </w:p>
    <w:p>
      <w:pPr>
        <w:jc w:val="right"/>
      </w:pPr>
      <w:r>
        <w:rPr>
          <w:rFonts w:ascii="Simplified Arabic" w:hAnsi="Simplified Arabic"/>
          <w:sz w:val="28"/>
        </w:rPr>
        <w:t>الأمثلة المذكورة أعلاه توضح كيف يمكن للقضايا الأخلاقية أن تكون جزءاً أساسياً من الحياة اليومية والتشريعات القانونية. إنها تحث على التفكير العميق حول كيف نتعامل مع الأزمات الأخلاقية ونتخذ قرارات مستنيرة.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