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b/>
          <w:sz w:val="36"/>
        </w:rPr>
        <w:t>الفصل الرابع</w:t>
      </w:r>
    </w:p>
    <w:p>
      <w:pPr>
        <w:jc w:val="right"/>
        <w:bidi w:val="1"/>
      </w:pPr>
      <w:r>
        <w:rPr>
          <w:rFonts w:ascii="Arial" w:hAnsi="Arial"/>
          <w:sz w:val="28"/>
        </w:rPr>
        <w:t>نتائج البحث وتفسيرها والتوصيات والمقترحات</w:t>
      </w:r>
    </w:p>
    <w:p/>
    <w:p>
      <w:pPr>
        <w:jc w:val="center"/>
        <w:bidi w:val="1"/>
      </w:pPr>
      <w:r>
        <w:rPr>
          <w:rFonts w:ascii="Arial" w:hAnsi="Arial"/>
          <w:b/>
          <w:sz w:val="36"/>
        </w:rPr>
        <w:t>تضمن هذا الفصل عرضاً للنتائج الخاصة بأسئلة البحث، واختبار صحة فروض البحث وتفسير نتائجها ومناقشتها (شاملاً الإحصاء الوصفي)، والتحليل الكيفي لبيانات البحث، وتوضيح مخرجات البحث، وتقديم التوصيات، والبحوث المقترحة.</w:t>
      </w:r>
    </w:p>
    <w:p/>
    <w:p>
      <w:pPr>
        <w:jc w:val="right"/>
        <w:bidi w:val="1"/>
      </w:pPr>
      <w:r>
        <w:rPr>
          <w:rFonts w:ascii="Arial" w:hAnsi="Arial"/>
          <w:b/>
          <w:color w:val="003366"/>
          <w:sz w:val="32"/>
        </w:rPr>
        <w:t>أولاً: عرض النتائج الخاصة بأسئلة البحث:</w:t>
      </w:r>
    </w:p>
    <w:p/>
    <w:p>
      <w:pPr>
        <w:jc w:val="right"/>
        <w:bidi w:val="1"/>
      </w:pPr>
      <w:r>
        <w:rPr>
          <w:rFonts w:ascii="Arial" w:hAnsi="Arial"/>
          <w:sz w:val="28"/>
        </w:rPr>
        <w:t>السؤال الأول:</w:t>
      </w:r>
    </w:p>
    <w:p>
      <w:pPr>
        <w:jc w:val="right"/>
        <w:bidi w:val="1"/>
      </w:pPr>
      <w:r>
        <w:rPr>
          <w:rFonts w:ascii="Arial" w:hAnsi="Arial"/>
          <w:sz w:val="28"/>
        </w:rPr>
        <w:t>نص السؤال الأول على: "ما معايير تصميم بيئة تعلم إلكتروني قائمة على نمط حشد المصادر (تنافسي/تشاركي) وزمنه (محدد/مفتوح) لتنمية مهارات حل المشكلات الأخلاقية البيوطبية والتدفق الذهني؟"</w:t>
      </w:r>
    </w:p>
    <w:p>
      <w:pPr>
        <w:jc w:val="right"/>
        <w:bidi w:val="1"/>
      </w:pPr>
      <w:r>
        <w:rPr>
          <w:rFonts w:ascii="Arial" w:hAnsi="Arial"/>
          <w:sz w:val="28"/>
        </w:rPr>
        <w:t>تم الإجابة على هذا السؤال من خلال:</w:t>
      </w:r>
    </w:p>
    <w:p>
      <w:pPr>
        <w:jc w:val="center"/>
        <w:bidi w:val="1"/>
      </w:pPr>
      <w:r>
        <w:rPr>
          <w:rFonts w:ascii="Arial" w:hAnsi="Arial"/>
          <w:b/>
          <w:sz w:val="36"/>
        </w:rPr>
        <w:t>التوصل إلى قائمة بمعايير تصميم بيئة التعلم الإلكتروني القائمة على نمط حشد المصادر، ملحق (×)؛ حيث تكونت القائمة من (8) محاور رئيسية، و(63) مؤشراً، وقد تم التحقق من صدقها، وتم توضيح ذلك تفصيلاً في الفصل الثاني والفصل الثالث الخاص بإجراءات البحث.</w:t>
      </w:r>
    </w:p>
    <w:p/>
    <w:p>
      <w:pPr>
        <w:jc w:val="right"/>
        <w:bidi w:val="1"/>
      </w:pPr>
      <w:r>
        <w:rPr>
          <w:rFonts w:ascii="Arial" w:hAnsi="Arial"/>
          <w:sz w:val="28"/>
        </w:rPr>
        <w:t>السؤال الثاني:</w:t>
      </w:r>
    </w:p>
    <w:p>
      <w:pPr>
        <w:jc w:val="right"/>
        <w:bidi w:val="1"/>
      </w:pPr>
      <w:r>
        <w:rPr>
          <w:rFonts w:ascii="Arial" w:hAnsi="Arial"/>
          <w:sz w:val="28"/>
        </w:rPr>
        <w:t>نص السؤال الثاني على: "ما التصميم التعليمي لبيئة التعلم الإلكتروني القائمة على نمط حشد المصادر (تنافسي/تشاركي) وزمنه (محدد/مفتوح)؟"</w:t>
      </w:r>
    </w:p>
    <w:p>
      <w:pPr>
        <w:jc w:val="right"/>
        <w:bidi w:val="1"/>
      </w:pPr>
      <w:r>
        <w:rPr>
          <w:rFonts w:ascii="Arial" w:hAnsi="Arial"/>
          <w:sz w:val="28"/>
        </w:rPr>
        <w:t>تمت الإجابة على هذا السؤال من خلال:</w:t>
      </w:r>
    </w:p>
    <w:p>
      <w:pPr>
        <w:jc w:val="center"/>
        <w:bidi w:val="1"/>
      </w:pPr>
      <w:r>
        <w:rPr>
          <w:rFonts w:ascii="Arial" w:hAnsi="Arial"/>
          <w:b/>
          <w:sz w:val="36"/>
        </w:rPr>
        <w:t>تطبيق نموذج محمد عطية خميس (2015) للتصميم التعليمي، ويتكون هذا النموذج من خمس مراحل رئيسية يتفرع منها مجموعة من الخطوات الفرعية الأخرى، وقد سبقت الإشارة تفصيلاً إلى الخطوات الفرعية لكل مرحلة رئيسة من تلك المراحل في الفصل الثالث من البحث الحالي.</w:t>
      </w:r>
    </w:p>
    <w:p/>
    <w:p>
      <w:pPr>
        <w:jc w:val="right"/>
        <w:bidi w:val="1"/>
      </w:pPr>
      <w:r>
        <w:rPr>
          <w:rFonts w:ascii="Arial" w:hAnsi="Arial"/>
          <w:sz w:val="28"/>
        </w:rPr>
        <w:t>الإجابة عن أسئلة البحث الثالث والرابع:</w:t>
      </w:r>
    </w:p>
    <w:p>
      <w:pPr>
        <w:jc w:val="right"/>
        <w:bidi w:val="1"/>
      </w:pPr>
      <w:r>
        <w:rPr>
          <w:rFonts w:ascii="Arial" w:hAnsi="Arial"/>
          <w:sz w:val="28"/>
        </w:rPr>
        <w:t>كما تمت الإجابة على أسئلة البحث: الثالث والرابع واللذين ينصان على:</w:t>
      </w:r>
    </w:p>
    <w:p>
      <w:pPr>
        <w:jc w:val="right"/>
        <w:bidi w:val="1"/>
      </w:pPr>
      <w:r>
        <w:rPr>
          <w:rFonts w:ascii="Arial" w:hAnsi="Arial"/>
          <w:sz w:val="28"/>
        </w:rPr>
        <w:t>السؤال الثالث: ما أثر اختلاف نمط حشد المصادر (تنافسي/تشاركي) وزمنه (محدد/مفتوح) والتفاعل بينهما في بيئة تعلم إلكتروني على تنمية مهارات حل المشكلات الأخلاقية البيوطبية؟</w:t>
      </w:r>
    </w:p>
    <w:p>
      <w:pPr>
        <w:jc w:val="right"/>
        <w:bidi w:val="1"/>
      </w:pPr>
      <w:r>
        <w:rPr>
          <w:rFonts w:ascii="Arial" w:hAnsi="Arial"/>
          <w:sz w:val="28"/>
        </w:rPr>
        <w:t>تمت الإجابة على هذا السؤال من خلال اختبار صحة الفروض الأول والثاني والثالث.</w:t>
      </w:r>
    </w:p>
    <w:p>
      <w:pPr>
        <w:jc w:val="right"/>
        <w:bidi w:val="1"/>
      </w:pPr>
      <w:r>
        <w:rPr>
          <w:rFonts w:ascii="Arial" w:hAnsi="Arial"/>
          <w:sz w:val="28"/>
        </w:rPr>
        <w:t>السؤال الرابع: ما أثر اختلاف نمط حشد المصادر (تنافسي/تشاركي) وزمنه (محدد/مفتوح) والتفاعل بينهما في بيئة تعلم إلكتروني على تنمية التدفق الذهني؟</w:t>
      </w:r>
    </w:p>
    <w:p>
      <w:pPr>
        <w:jc w:val="right"/>
        <w:bidi w:val="1"/>
      </w:pPr>
      <w:r>
        <w:rPr>
          <w:rFonts w:ascii="Arial" w:hAnsi="Arial"/>
          <w:sz w:val="28"/>
        </w:rPr>
        <w:t>تمت الإجابة على هذا السؤال من خلال اختبار صحة الفروض الرابع والخامس والسادس.</w:t>
      </w:r>
    </w:p>
    <w:p>
      <w:pPr>
        <w:jc w:val="right"/>
        <w:bidi w:val="1"/>
      </w:pPr>
      <w:r>
        <w:rPr>
          <w:rFonts w:ascii="Arial" w:hAnsi="Arial"/>
          <w:sz w:val="28"/>
        </w:rPr>
        <w:t>وفيما يلي عرض تفصيلي لنتائج اختبار صحة فروض البحث.</w:t>
      </w:r>
    </w:p>
    <w:p/>
    <w:p>
      <w:pPr>
        <w:jc w:val="right"/>
        <w:bidi w:val="1"/>
      </w:pPr>
      <w:r>
        <w:rPr>
          <w:rFonts w:ascii="Arial" w:hAnsi="Arial"/>
          <w:b/>
          <w:color w:val="003366"/>
          <w:sz w:val="32"/>
        </w:rPr>
        <w:t>ثانياً: اختبار صحة فروض البحث (شاملاً الإحصاء الوصفي):</w:t>
      </w:r>
    </w:p>
    <w:p/>
    <w:p>
      <w:pPr>
        <w:jc w:val="right"/>
        <w:bidi w:val="1"/>
      </w:pPr>
      <w:r>
        <w:rPr>
          <w:rFonts w:ascii="Arial" w:hAnsi="Arial"/>
          <w:sz w:val="28"/>
        </w:rPr>
        <w:t>أ) الإحصاء الوصفي لمتغيرات البحث:</w:t>
      </w:r>
    </w:p>
    <w:p>
      <w:pPr>
        <w:jc w:val="right"/>
        <w:bidi w:val="1"/>
      </w:pPr>
      <w:r>
        <w:rPr>
          <w:rFonts w:ascii="Arial" w:hAnsi="Arial"/>
          <w:sz w:val="28"/>
        </w:rPr>
        <w:t>تم حساب المتوسطات الحسابية والانحرافات المعيارية لأدوات البحث (مقياس حل المشكلات الأخلاقية البيوطبية، ومقياس التدفق الذهني)، وفيما يلي توضيح المتوسطات الحسابية والانحرافات المعيارية لكل متغير من المتغيرات التابعة وفقاً لمجموعات البحث:</w:t>
      </w:r>
    </w:p>
    <w:p/>
    <w:p>
      <w:pPr>
        <w:jc w:val="center"/>
        <w:bidi w:val="1"/>
      </w:pPr>
      <w:r>
        <w:rPr>
          <w:rFonts w:ascii="Arial" w:hAnsi="Arial"/>
          <w:b/>
          <w:sz w:val="24"/>
        </w:rPr>
        <w:t>جدول (×): الإحصاء الوصفي، المتوسط والانحراف المعياري لمجموعات البحث في مقياس حل المشكلات (القيمة العظمى = 30 درجة)</w:t>
      </w:r>
    </w:p>
    <w:tbl>
      <w:tblPr>
        <w:tblStyle w:val="TableGrid"/>
        <w:tblW w:type="auto" w:w="0"/>
        <w:tblLook w:firstColumn="1" w:firstRow="1" w:lastColumn="0" w:lastRow="0" w:noHBand="0" w:noVBand="1" w:val="04A0"/>
        <w:bidiVisual w:val="1"/>
      </w:tblPr>
      <w:tblGrid>
        <w:gridCol w:w="2160"/>
        <w:gridCol w:w="2160"/>
        <w:gridCol w:w="2160"/>
        <w:gridCol w:w="2160"/>
      </w:tblGrid>
      <w:tr>
        <w:tc>
          <w:tcPr>
            <w:tcW w:type="dxa" w:w="2160"/>
          </w:tcPr>
          <w:p>
            <w:pPr>
              <w:jc w:val="center"/>
              <w:bidi w:val="1"/>
            </w:pPr>
            <w:r>
              <w:rPr>
                <w:rFonts w:ascii="Arial" w:hAnsi="Arial"/>
                <w:b/>
                <w:sz w:val="24"/>
              </w:rPr>
              <w:t>المجموعة</w:t>
            </w:r>
          </w:p>
        </w:tc>
        <w:tc>
          <w:tcPr>
            <w:tcW w:type="dxa" w:w="2160"/>
          </w:tcPr>
          <w:p>
            <w:pPr>
              <w:jc w:val="center"/>
              <w:bidi w:val="1"/>
            </w:pPr>
            <w:r>
              <w:rPr>
                <w:rFonts w:ascii="Arial" w:hAnsi="Arial"/>
                <w:b/>
                <w:sz w:val="24"/>
              </w:rPr>
              <w:t>العدد (ن)</w:t>
            </w:r>
          </w:p>
        </w:tc>
        <w:tc>
          <w:tcPr>
            <w:tcW w:type="dxa" w:w="2160"/>
          </w:tcPr>
          <w:p>
            <w:pPr>
              <w:jc w:val="center"/>
              <w:bidi w:val="1"/>
            </w:pPr>
            <w:r>
              <w:rPr>
                <w:rFonts w:ascii="Arial" w:hAnsi="Arial"/>
                <w:b/>
                <w:sz w:val="24"/>
              </w:rPr>
              <w:t>المتوسط الحسابي (م)</w:t>
            </w:r>
          </w:p>
        </w:tc>
        <w:tc>
          <w:tcPr>
            <w:tcW w:type="dxa" w:w="2160"/>
          </w:tcPr>
          <w:p>
            <w:pPr>
              <w:jc w:val="center"/>
              <w:bidi w:val="1"/>
            </w:pPr>
            <w:r>
              <w:rPr>
                <w:rFonts w:ascii="Arial" w:hAnsi="Arial"/>
                <w:b/>
                <w:sz w:val="24"/>
              </w:rPr>
              <w:t>الانحراف المعياري (ع)</w:t>
            </w:r>
          </w:p>
        </w:tc>
      </w:tr>
      <w:tr>
        <w:tc>
          <w:tcPr>
            <w:tcW w:type="dxa" w:w="2160"/>
          </w:tcPr>
          <w:p>
            <w:pPr>
              <w:jc w:val="center"/>
              <w:bidi w:val="1"/>
            </w:pPr>
            <w:r>
              <w:rPr>
                <w:rFonts w:ascii="Arial" w:hAnsi="Arial"/>
                <w:sz w:val="24"/>
              </w:rPr>
              <w:t>المجموعة التجريبية الأولى (تنافسي × محدد)</w:t>
            </w:r>
          </w:p>
        </w:tc>
        <w:tc>
          <w:tcPr>
            <w:tcW w:type="dxa" w:w="2160"/>
          </w:tcPr>
          <w:p>
            <w:pPr>
              <w:jc w:val="center"/>
              <w:bidi w:val="1"/>
            </w:pPr>
            <w:r>
              <w:rPr>
                <w:rFonts w:ascii="Arial" w:hAnsi="Arial"/>
                <w:sz w:val="24"/>
              </w:rPr>
              <w:t>20</w:t>
            </w:r>
          </w:p>
        </w:tc>
        <w:tc>
          <w:tcPr>
            <w:tcW w:type="dxa" w:w="2160"/>
          </w:tcPr>
          <w:p>
            <w:pPr>
              <w:jc w:val="center"/>
              <w:bidi w:val="1"/>
            </w:pPr>
            <w:r>
              <w:rPr>
                <w:rFonts w:ascii="Arial" w:hAnsi="Arial"/>
                <w:sz w:val="24"/>
              </w:rPr>
              <w:t>18.40</w:t>
            </w:r>
          </w:p>
        </w:tc>
        <w:tc>
          <w:tcPr>
            <w:tcW w:type="dxa" w:w="2160"/>
          </w:tcPr>
          <w:p>
            <w:pPr>
              <w:jc w:val="center"/>
              <w:bidi w:val="1"/>
            </w:pPr>
            <w:r>
              <w:rPr>
                <w:rFonts w:ascii="Arial" w:hAnsi="Arial"/>
                <w:sz w:val="24"/>
              </w:rPr>
              <w:t>2.93</w:t>
            </w:r>
          </w:p>
        </w:tc>
      </w:tr>
      <w:tr>
        <w:tc>
          <w:tcPr>
            <w:tcW w:type="dxa" w:w="2160"/>
          </w:tcPr>
          <w:p>
            <w:pPr>
              <w:jc w:val="center"/>
              <w:bidi w:val="1"/>
            </w:pPr>
            <w:r>
              <w:rPr>
                <w:rFonts w:ascii="Arial" w:hAnsi="Arial"/>
                <w:sz w:val="24"/>
              </w:rPr>
              <w:t>المجموعة التجريبية الثانية (تنافسي × مفتوح)</w:t>
            </w:r>
          </w:p>
        </w:tc>
        <w:tc>
          <w:tcPr>
            <w:tcW w:type="dxa" w:w="2160"/>
          </w:tcPr>
          <w:p>
            <w:pPr>
              <w:jc w:val="center"/>
              <w:bidi w:val="1"/>
            </w:pPr>
            <w:r>
              <w:rPr>
                <w:rFonts w:ascii="Arial" w:hAnsi="Arial"/>
                <w:sz w:val="24"/>
              </w:rPr>
              <w:t>20</w:t>
            </w:r>
          </w:p>
        </w:tc>
        <w:tc>
          <w:tcPr>
            <w:tcW w:type="dxa" w:w="2160"/>
          </w:tcPr>
          <w:p>
            <w:pPr>
              <w:jc w:val="center"/>
              <w:bidi w:val="1"/>
            </w:pPr>
            <w:r>
              <w:rPr>
                <w:rFonts w:ascii="Arial" w:hAnsi="Arial"/>
                <w:sz w:val="24"/>
              </w:rPr>
              <w:t>18.30</w:t>
            </w:r>
          </w:p>
        </w:tc>
        <w:tc>
          <w:tcPr>
            <w:tcW w:type="dxa" w:w="2160"/>
          </w:tcPr>
          <w:p>
            <w:pPr>
              <w:jc w:val="center"/>
              <w:bidi w:val="1"/>
            </w:pPr>
            <w:r>
              <w:rPr>
                <w:rFonts w:ascii="Arial" w:hAnsi="Arial"/>
                <w:sz w:val="24"/>
              </w:rPr>
              <w:t>4.45</w:t>
            </w:r>
          </w:p>
        </w:tc>
      </w:tr>
      <w:tr>
        <w:tc>
          <w:tcPr>
            <w:tcW w:type="dxa" w:w="2160"/>
          </w:tcPr>
          <w:p>
            <w:pPr>
              <w:jc w:val="center"/>
              <w:bidi w:val="1"/>
            </w:pPr>
            <w:r>
              <w:rPr>
                <w:rFonts w:ascii="Arial" w:hAnsi="Arial"/>
                <w:sz w:val="24"/>
              </w:rPr>
              <w:t>المجموعة التجريبية الثالثة (تشاركي × محدد)</w:t>
            </w:r>
          </w:p>
        </w:tc>
        <w:tc>
          <w:tcPr>
            <w:tcW w:type="dxa" w:w="2160"/>
          </w:tcPr>
          <w:p>
            <w:pPr>
              <w:jc w:val="center"/>
              <w:bidi w:val="1"/>
            </w:pPr>
            <w:r>
              <w:rPr>
                <w:rFonts w:ascii="Arial" w:hAnsi="Arial"/>
                <w:sz w:val="24"/>
              </w:rPr>
              <w:t>20</w:t>
            </w:r>
          </w:p>
        </w:tc>
        <w:tc>
          <w:tcPr>
            <w:tcW w:type="dxa" w:w="2160"/>
          </w:tcPr>
          <w:p>
            <w:pPr>
              <w:jc w:val="center"/>
              <w:bidi w:val="1"/>
            </w:pPr>
            <w:r>
              <w:rPr>
                <w:rFonts w:ascii="Arial" w:hAnsi="Arial"/>
                <w:sz w:val="24"/>
              </w:rPr>
              <w:t>22.20</w:t>
            </w:r>
          </w:p>
        </w:tc>
        <w:tc>
          <w:tcPr>
            <w:tcW w:type="dxa" w:w="2160"/>
          </w:tcPr>
          <w:p>
            <w:pPr>
              <w:jc w:val="center"/>
              <w:bidi w:val="1"/>
            </w:pPr>
            <w:r>
              <w:rPr>
                <w:rFonts w:ascii="Arial" w:hAnsi="Arial"/>
                <w:sz w:val="24"/>
              </w:rPr>
              <w:t>2.12</w:t>
            </w:r>
          </w:p>
        </w:tc>
      </w:tr>
      <w:tr>
        <w:tc>
          <w:tcPr>
            <w:tcW w:type="dxa" w:w="2160"/>
          </w:tcPr>
          <w:p>
            <w:pPr>
              <w:jc w:val="center"/>
              <w:bidi w:val="1"/>
            </w:pPr>
            <w:r>
              <w:rPr>
                <w:rFonts w:ascii="Arial" w:hAnsi="Arial"/>
                <w:sz w:val="24"/>
              </w:rPr>
              <w:t>المجموعة التجريبية الرابعة (تشاركي × مفتوح)</w:t>
            </w:r>
          </w:p>
        </w:tc>
        <w:tc>
          <w:tcPr>
            <w:tcW w:type="dxa" w:w="2160"/>
          </w:tcPr>
          <w:p>
            <w:pPr>
              <w:jc w:val="center"/>
              <w:bidi w:val="1"/>
            </w:pPr>
            <w:r>
              <w:rPr>
                <w:rFonts w:ascii="Arial" w:hAnsi="Arial"/>
                <w:sz w:val="24"/>
              </w:rPr>
              <w:t>20</w:t>
            </w:r>
          </w:p>
        </w:tc>
        <w:tc>
          <w:tcPr>
            <w:tcW w:type="dxa" w:w="2160"/>
          </w:tcPr>
          <w:p>
            <w:pPr>
              <w:jc w:val="center"/>
              <w:bidi w:val="1"/>
            </w:pPr>
            <w:r>
              <w:rPr>
                <w:rFonts w:ascii="Arial" w:hAnsi="Arial"/>
                <w:sz w:val="24"/>
              </w:rPr>
              <w:t>21.90</w:t>
            </w:r>
          </w:p>
        </w:tc>
        <w:tc>
          <w:tcPr>
            <w:tcW w:type="dxa" w:w="2160"/>
          </w:tcPr>
          <w:p>
            <w:pPr>
              <w:jc w:val="center"/>
              <w:bidi w:val="1"/>
            </w:pPr>
            <w:r>
              <w:rPr>
                <w:rFonts w:ascii="Arial" w:hAnsi="Arial"/>
                <w:sz w:val="24"/>
              </w:rPr>
              <w:t>3.49</w:t>
            </w:r>
          </w:p>
        </w:tc>
      </w:tr>
    </w:tbl>
    <w:p/>
    <w:p>
      <w:pPr>
        <w:jc w:val="right"/>
        <w:bidi w:val="1"/>
      </w:pPr>
      <w:r>
        <w:rPr>
          <w:rFonts w:ascii="Arial" w:hAnsi="Arial"/>
          <w:sz w:val="28"/>
        </w:rPr>
        <w:t>يتضح من الجدول السابق اختلاف متوسطات درجات مجموعات البحث في التطبيق البعدي لمقياس حل المشكلات الأخلاقية البيوطبية؛ حيث جاء متوسط مجموعتي النمط التشاركي (22.20، 21.90) وهو أعلى من متوسط مجموعتي النمط التنافسي (18.40، 18.30)، ويشير ذلك إلى تفوق ظاهري لنمط الحشد التشاركي بغض النظر عن الزمن (محدد/مفتوح).</w:t>
      </w:r>
    </w:p>
    <w:p/>
    <w:p>
      <w:pPr>
        <w:jc w:val="center"/>
        <w:bidi w:val="1"/>
      </w:pPr>
      <w:r>
        <w:rPr>
          <w:rFonts w:ascii="Arial" w:hAnsi="Arial"/>
          <w:b/>
          <w:sz w:val="24"/>
        </w:rPr>
        <w:t>جدول (×): الإحصاء الوصفي، المتوسط والانحراف المعياري للدرجة الكلية لمقياس التدفق الذهني</w:t>
      </w:r>
    </w:p>
    <w:tbl>
      <w:tblPr>
        <w:tblStyle w:val="TableGrid"/>
        <w:tblW w:type="auto" w:w="0"/>
        <w:tblLook w:firstColumn="1" w:firstRow="1" w:lastColumn="0" w:lastRow="0" w:noHBand="0" w:noVBand="1" w:val="04A0"/>
        <w:bidiVisual w:val="1"/>
      </w:tblPr>
      <w:tblGrid>
        <w:gridCol w:w="2160"/>
        <w:gridCol w:w="2160"/>
        <w:gridCol w:w="2160"/>
        <w:gridCol w:w="2160"/>
      </w:tblGrid>
      <w:tr>
        <w:tc>
          <w:tcPr>
            <w:tcW w:type="dxa" w:w="2160"/>
          </w:tcPr>
          <w:p>
            <w:pPr>
              <w:jc w:val="center"/>
              <w:bidi w:val="1"/>
            </w:pPr>
            <w:r>
              <w:rPr>
                <w:rFonts w:ascii="Arial" w:hAnsi="Arial"/>
                <w:b/>
                <w:sz w:val="24"/>
              </w:rPr>
              <w:t>المجموعة</w:t>
            </w:r>
          </w:p>
        </w:tc>
        <w:tc>
          <w:tcPr>
            <w:tcW w:type="dxa" w:w="2160"/>
          </w:tcPr>
          <w:p>
            <w:pPr>
              <w:jc w:val="center"/>
              <w:bidi w:val="1"/>
            </w:pPr>
            <w:r>
              <w:rPr>
                <w:rFonts w:ascii="Arial" w:hAnsi="Arial"/>
                <w:b/>
                <w:sz w:val="24"/>
              </w:rPr>
              <w:t>العدد (ن)</w:t>
            </w:r>
          </w:p>
        </w:tc>
        <w:tc>
          <w:tcPr>
            <w:tcW w:type="dxa" w:w="2160"/>
          </w:tcPr>
          <w:p>
            <w:pPr>
              <w:jc w:val="center"/>
              <w:bidi w:val="1"/>
            </w:pPr>
            <w:r>
              <w:rPr>
                <w:rFonts w:ascii="Arial" w:hAnsi="Arial"/>
                <w:b/>
                <w:sz w:val="24"/>
              </w:rPr>
              <w:t>المتوسط الحسابي (م)</w:t>
            </w:r>
          </w:p>
        </w:tc>
        <w:tc>
          <w:tcPr>
            <w:tcW w:type="dxa" w:w="2160"/>
          </w:tcPr>
          <w:p>
            <w:pPr>
              <w:jc w:val="center"/>
              <w:bidi w:val="1"/>
            </w:pPr>
            <w:r>
              <w:rPr>
                <w:rFonts w:ascii="Arial" w:hAnsi="Arial"/>
                <w:b/>
                <w:sz w:val="24"/>
              </w:rPr>
              <w:t>الانحراف المعياري (ع)</w:t>
            </w:r>
          </w:p>
        </w:tc>
      </w:tr>
      <w:tr>
        <w:tc>
          <w:tcPr>
            <w:tcW w:type="dxa" w:w="2160"/>
          </w:tcPr>
          <w:p>
            <w:pPr>
              <w:jc w:val="center"/>
              <w:bidi w:val="1"/>
            </w:pPr>
            <w:r>
              <w:rPr>
                <w:rFonts w:ascii="Arial" w:hAnsi="Arial"/>
                <w:sz w:val="24"/>
              </w:rPr>
              <w:t>المجموعة التجريبية الأولى (تنافسي × محدد)</w:t>
            </w:r>
          </w:p>
        </w:tc>
        <w:tc>
          <w:tcPr>
            <w:tcW w:type="dxa" w:w="2160"/>
          </w:tcPr>
          <w:p>
            <w:pPr>
              <w:jc w:val="center"/>
              <w:bidi w:val="1"/>
            </w:pPr>
            <w:r>
              <w:rPr>
                <w:rFonts w:ascii="Arial" w:hAnsi="Arial"/>
                <w:sz w:val="24"/>
              </w:rPr>
              <w:t>20</w:t>
            </w:r>
          </w:p>
        </w:tc>
        <w:tc>
          <w:tcPr>
            <w:tcW w:type="dxa" w:w="2160"/>
          </w:tcPr>
          <w:p>
            <w:pPr>
              <w:jc w:val="center"/>
              <w:bidi w:val="1"/>
            </w:pPr>
            <w:r>
              <w:rPr>
                <w:rFonts w:ascii="Arial" w:hAnsi="Arial"/>
                <w:sz w:val="24"/>
              </w:rPr>
              <w:t>196.75</w:t>
            </w:r>
          </w:p>
        </w:tc>
        <w:tc>
          <w:tcPr>
            <w:tcW w:type="dxa" w:w="2160"/>
          </w:tcPr>
          <w:p>
            <w:pPr>
              <w:jc w:val="center"/>
              <w:bidi w:val="1"/>
            </w:pPr>
            <w:r>
              <w:rPr>
                <w:rFonts w:ascii="Arial" w:hAnsi="Arial"/>
                <w:sz w:val="24"/>
              </w:rPr>
              <w:t>28.19</w:t>
            </w:r>
          </w:p>
        </w:tc>
      </w:tr>
      <w:tr>
        <w:tc>
          <w:tcPr>
            <w:tcW w:type="dxa" w:w="2160"/>
          </w:tcPr>
          <w:p>
            <w:pPr>
              <w:jc w:val="center"/>
              <w:bidi w:val="1"/>
            </w:pPr>
            <w:r>
              <w:rPr>
                <w:rFonts w:ascii="Arial" w:hAnsi="Arial"/>
                <w:sz w:val="24"/>
              </w:rPr>
              <w:t>المجموعة التجريبية الثانية (تنافسي × مفتوح)</w:t>
            </w:r>
          </w:p>
        </w:tc>
        <w:tc>
          <w:tcPr>
            <w:tcW w:type="dxa" w:w="2160"/>
          </w:tcPr>
          <w:p>
            <w:pPr>
              <w:jc w:val="center"/>
              <w:bidi w:val="1"/>
            </w:pPr>
            <w:r>
              <w:rPr>
                <w:rFonts w:ascii="Arial" w:hAnsi="Arial"/>
                <w:sz w:val="24"/>
              </w:rPr>
              <w:t>20</w:t>
            </w:r>
          </w:p>
        </w:tc>
        <w:tc>
          <w:tcPr>
            <w:tcW w:type="dxa" w:w="2160"/>
          </w:tcPr>
          <w:p>
            <w:pPr>
              <w:jc w:val="center"/>
              <w:bidi w:val="1"/>
            </w:pPr>
            <w:r>
              <w:rPr>
                <w:rFonts w:ascii="Arial" w:hAnsi="Arial"/>
                <w:sz w:val="24"/>
              </w:rPr>
              <w:t>220.25</w:t>
            </w:r>
          </w:p>
        </w:tc>
        <w:tc>
          <w:tcPr>
            <w:tcW w:type="dxa" w:w="2160"/>
          </w:tcPr>
          <w:p>
            <w:pPr>
              <w:jc w:val="center"/>
              <w:bidi w:val="1"/>
            </w:pPr>
            <w:r>
              <w:rPr>
                <w:rFonts w:ascii="Arial" w:hAnsi="Arial"/>
                <w:sz w:val="24"/>
              </w:rPr>
              <w:t>19.70</w:t>
            </w:r>
          </w:p>
        </w:tc>
      </w:tr>
      <w:tr>
        <w:tc>
          <w:tcPr>
            <w:tcW w:type="dxa" w:w="2160"/>
          </w:tcPr>
          <w:p>
            <w:pPr>
              <w:jc w:val="center"/>
              <w:bidi w:val="1"/>
            </w:pPr>
            <w:r>
              <w:rPr>
                <w:rFonts w:ascii="Arial" w:hAnsi="Arial"/>
                <w:sz w:val="24"/>
              </w:rPr>
              <w:t>المجموعة التجريبية الثالثة (تشاركي × محدد)</w:t>
            </w:r>
          </w:p>
        </w:tc>
        <w:tc>
          <w:tcPr>
            <w:tcW w:type="dxa" w:w="2160"/>
          </w:tcPr>
          <w:p>
            <w:pPr>
              <w:jc w:val="center"/>
              <w:bidi w:val="1"/>
            </w:pPr>
            <w:r>
              <w:rPr>
                <w:rFonts w:ascii="Arial" w:hAnsi="Arial"/>
                <w:sz w:val="24"/>
              </w:rPr>
              <w:t>20</w:t>
            </w:r>
          </w:p>
        </w:tc>
        <w:tc>
          <w:tcPr>
            <w:tcW w:type="dxa" w:w="2160"/>
          </w:tcPr>
          <w:p>
            <w:pPr>
              <w:jc w:val="center"/>
              <w:bidi w:val="1"/>
            </w:pPr>
            <w:r>
              <w:rPr>
                <w:rFonts w:ascii="Arial" w:hAnsi="Arial"/>
                <w:sz w:val="24"/>
              </w:rPr>
              <w:t>210.65</w:t>
            </w:r>
          </w:p>
        </w:tc>
        <w:tc>
          <w:tcPr>
            <w:tcW w:type="dxa" w:w="2160"/>
          </w:tcPr>
          <w:p>
            <w:pPr>
              <w:jc w:val="center"/>
              <w:bidi w:val="1"/>
            </w:pPr>
            <w:r>
              <w:rPr>
                <w:rFonts w:ascii="Arial" w:hAnsi="Arial"/>
                <w:sz w:val="24"/>
              </w:rPr>
              <w:t>28.42</w:t>
            </w:r>
          </w:p>
        </w:tc>
      </w:tr>
      <w:tr>
        <w:tc>
          <w:tcPr>
            <w:tcW w:type="dxa" w:w="2160"/>
          </w:tcPr>
          <w:p>
            <w:pPr>
              <w:jc w:val="center"/>
              <w:bidi w:val="1"/>
            </w:pPr>
            <w:r>
              <w:rPr>
                <w:rFonts w:ascii="Arial" w:hAnsi="Arial"/>
                <w:sz w:val="24"/>
              </w:rPr>
              <w:t>المجموعة التجريبية الرابعة (تشاركي × مفتوح)</w:t>
            </w:r>
          </w:p>
        </w:tc>
        <w:tc>
          <w:tcPr>
            <w:tcW w:type="dxa" w:w="2160"/>
          </w:tcPr>
          <w:p>
            <w:pPr>
              <w:jc w:val="center"/>
              <w:bidi w:val="1"/>
            </w:pPr>
            <w:r>
              <w:rPr>
                <w:rFonts w:ascii="Arial" w:hAnsi="Arial"/>
                <w:sz w:val="24"/>
              </w:rPr>
              <w:t>20</w:t>
            </w:r>
          </w:p>
        </w:tc>
        <w:tc>
          <w:tcPr>
            <w:tcW w:type="dxa" w:w="2160"/>
          </w:tcPr>
          <w:p>
            <w:pPr>
              <w:jc w:val="center"/>
              <w:bidi w:val="1"/>
            </w:pPr>
            <w:r>
              <w:rPr>
                <w:rFonts w:ascii="Arial" w:hAnsi="Arial"/>
                <w:sz w:val="24"/>
              </w:rPr>
              <w:t>231.25</w:t>
            </w:r>
          </w:p>
        </w:tc>
        <w:tc>
          <w:tcPr>
            <w:tcW w:type="dxa" w:w="2160"/>
          </w:tcPr>
          <w:p>
            <w:pPr>
              <w:jc w:val="center"/>
              <w:bidi w:val="1"/>
            </w:pPr>
            <w:r>
              <w:rPr>
                <w:rFonts w:ascii="Arial" w:hAnsi="Arial"/>
                <w:sz w:val="24"/>
              </w:rPr>
              <w:t>18.73</w:t>
            </w:r>
          </w:p>
        </w:tc>
      </w:tr>
    </w:tbl>
    <w:p/>
    <w:p>
      <w:pPr>
        <w:jc w:val="right"/>
        <w:bidi w:val="1"/>
      </w:pPr>
      <w:r>
        <w:rPr>
          <w:rFonts w:ascii="Arial" w:hAnsi="Arial"/>
          <w:sz w:val="28"/>
        </w:rPr>
        <w:t>يتضح من الجدول السابق أن أعلى متوسط في التدفق الذهني هو (231.25) لمجموعة (تشاركي × مفتوح)، وأدنى متوسط هو (196.75) لمجموعة (تنافسي × محدد)، مما يشير ظاهرياً إلى تفوق كل من النمط التشاركي والزمن المفتوح في تعزيز التدفق الذهني.</w:t>
      </w:r>
    </w:p>
    <w:p/>
    <w:p>
      <w:pPr>
        <w:jc w:val="right"/>
        <w:bidi w:val="1"/>
      </w:pPr>
      <w:r>
        <w:rPr>
          <w:rFonts w:ascii="Arial" w:hAnsi="Arial"/>
          <w:sz w:val="28"/>
        </w:rPr>
        <w:t>ولمزيد من التفصيل، يوضح الجدول التالي الإحصاء الوصفي للأبعاد الثمانية للتدفق الذهني (نموذج أباظة، 2011) للمجموعات الأربع:</w:t>
      </w:r>
    </w:p>
    <w:p/>
    <w:p>
      <w:pPr>
        <w:jc w:val="center"/>
        <w:bidi w:val="1"/>
      </w:pPr>
      <w:r>
        <w:rPr>
          <w:rFonts w:ascii="Arial" w:hAnsi="Arial"/>
          <w:b/>
          <w:sz w:val="24"/>
        </w:rPr>
        <w:t>جدول (×): المتوسطات الحسابية للأبعاد الثمانية لمقياس التدفق الذهني وفقاً لمجموعات البحث</w:t>
      </w:r>
    </w:p>
    <w:tbl>
      <w:tblPr>
        <w:tblStyle w:val="TableGrid"/>
        <w:tblW w:type="auto" w:w="0"/>
        <w:tblLook w:firstColumn="1" w:firstRow="1" w:lastColumn="0" w:lastRow="0" w:noHBand="0" w:noVBand="1" w:val="04A0"/>
        <w:bidiVisual w:val="1"/>
      </w:tblPr>
      <w:tblGrid>
        <w:gridCol w:w="1728"/>
        <w:gridCol w:w="1728"/>
        <w:gridCol w:w="1728"/>
        <w:gridCol w:w="1728"/>
        <w:gridCol w:w="1728"/>
      </w:tblGrid>
      <w:tr>
        <w:tc>
          <w:tcPr>
            <w:tcW w:type="dxa" w:w="1728"/>
          </w:tcPr>
          <w:p>
            <w:pPr>
              <w:jc w:val="center"/>
              <w:bidi w:val="1"/>
            </w:pPr>
            <w:r>
              <w:rPr>
                <w:rFonts w:ascii="Arial" w:hAnsi="Arial"/>
                <w:b/>
                <w:sz w:val="24"/>
              </w:rPr>
              <w:t>البُعد</w:t>
            </w:r>
          </w:p>
        </w:tc>
        <w:tc>
          <w:tcPr>
            <w:tcW w:type="dxa" w:w="1728"/>
          </w:tcPr>
          <w:p>
            <w:pPr>
              <w:jc w:val="center"/>
              <w:bidi w:val="1"/>
            </w:pPr>
            <w:r>
              <w:rPr>
                <w:rFonts w:ascii="Arial" w:hAnsi="Arial"/>
                <w:b/>
                <w:sz w:val="24"/>
              </w:rPr>
              <w:t>م1 (تنافسي×محدد)</w:t>
            </w:r>
          </w:p>
        </w:tc>
        <w:tc>
          <w:tcPr>
            <w:tcW w:type="dxa" w:w="1728"/>
          </w:tcPr>
          <w:p>
            <w:pPr>
              <w:jc w:val="center"/>
              <w:bidi w:val="1"/>
            </w:pPr>
            <w:r>
              <w:rPr>
                <w:rFonts w:ascii="Arial" w:hAnsi="Arial"/>
                <w:b/>
                <w:sz w:val="24"/>
              </w:rPr>
              <w:t>م2 (تنافسي×مفتوح)</w:t>
            </w:r>
          </w:p>
        </w:tc>
        <w:tc>
          <w:tcPr>
            <w:tcW w:type="dxa" w:w="1728"/>
          </w:tcPr>
          <w:p>
            <w:pPr>
              <w:jc w:val="center"/>
              <w:bidi w:val="1"/>
            </w:pPr>
            <w:r>
              <w:rPr>
                <w:rFonts w:ascii="Arial" w:hAnsi="Arial"/>
                <w:b/>
                <w:sz w:val="24"/>
              </w:rPr>
              <w:t>م3 (تشاركي×محدد)</w:t>
            </w:r>
          </w:p>
        </w:tc>
        <w:tc>
          <w:tcPr>
            <w:tcW w:type="dxa" w:w="1728"/>
          </w:tcPr>
          <w:p>
            <w:pPr>
              <w:jc w:val="center"/>
              <w:bidi w:val="1"/>
            </w:pPr>
            <w:r>
              <w:rPr>
                <w:rFonts w:ascii="Arial" w:hAnsi="Arial"/>
                <w:b/>
                <w:sz w:val="24"/>
              </w:rPr>
              <w:t>م4 (تشاركي×مفتوح)</w:t>
            </w:r>
          </w:p>
        </w:tc>
      </w:tr>
      <w:tr>
        <w:tc>
          <w:tcPr>
            <w:tcW w:type="dxa" w:w="1728"/>
          </w:tcPr>
          <w:p>
            <w:pPr>
              <w:jc w:val="center"/>
              <w:bidi w:val="1"/>
            </w:pPr>
            <w:r>
              <w:rPr>
                <w:rFonts w:ascii="Arial" w:hAnsi="Arial"/>
                <w:sz w:val="24"/>
              </w:rPr>
              <w:t>1. إدارة الوقت والشعور بالمسؤولية</w:t>
            </w:r>
          </w:p>
        </w:tc>
        <w:tc>
          <w:tcPr>
            <w:tcW w:type="dxa" w:w="1728"/>
          </w:tcPr>
          <w:p>
            <w:pPr>
              <w:jc w:val="center"/>
              <w:bidi w:val="1"/>
            </w:pPr>
            <w:r>
              <w:rPr>
                <w:rFonts w:ascii="Arial" w:hAnsi="Arial"/>
                <w:sz w:val="24"/>
              </w:rPr>
              <w:t>24.55</w:t>
            </w:r>
          </w:p>
        </w:tc>
        <w:tc>
          <w:tcPr>
            <w:tcW w:type="dxa" w:w="1728"/>
          </w:tcPr>
          <w:p>
            <w:pPr>
              <w:jc w:val="center"/>
              <w:bidi w:val="1"/>
            </w:pPr>
            <w:r>
              <w:rPr>
                <w:rFonts w:ascii="Arial" w:hAnsi="Arial"/>
                <w:sz w:val="24"/>
              </w:rPr>
              <w:t>28.05</w:t>
            </w:r>
          </w:p>
        </w:tc>
        <w:tc>
          <w:tcPr>
            <w:tcW w:type="dxa" w:w="1728"/>
          </w:tcPr>
          <w:p>
            <w:pPr>
              <w:jc w:val="center"/>
              <w:bidi w:val="1"/>
            </w:pPr>
            <w:r>
              <w:rPr>
                <w:rFonts w:ascii="Arial" w:hAnsi="Arial"/>
                <w:sz w:val="24"/>
              </w:rPr>
              <w:t>25.75</w:t>
            </w:r>
          </w:p>
        </w:tc>
        <w:tc>
          <w:tcPr>
            <w:tcW w:type="dxa" w:w="1728"/>
          </w:tcPr>
          <w:p>
            <w:pPr>
              <w:jc w:val="center"/>
              <w:bidi w:val="1"/>
            </w:pPr>
            <w:r>
              <w:rPr>
                <w:rFonts w:ascii="Arial" w:hAnsi="Arial"/>
                <w:sz w:val="24"/>
              </w:rPr>
              <w:t>28.65</w:t>
            </w:r>
          </w:p>
        </w:tc>
      </w:tr>
      <w:tr>
        <w:tc>
          <w:tcPr>
            <w:tcW w:type="dxa" w:w="1728"/>
          </w:tcPr>
          <w:p>
            <w:pPr>
              <w:jc w:val="center"/>
              <w:bidi w:val="1"/>
            </w:pPr>
            <w:r>
              <w:rPr>
                <w:rFonts w:ascii="Arial" w:hAnsi="Arial"/>
                <w:sz w:val="24"/>
              </w:rPr>
              <w:t>2. تحديد الأهداف بدقة</w:t>
            </w:r>
          </w:p>
        </w:tc>
        <w:tc>
          <w:tcPr>
            <w:tcW w:type="dxa" w:w="1728"/>
          </w:tcPr>
          <w:p>
            <w:pPr>
              <w:jc w:val="center"/>
              <w:bidi w:val="1"/>
            </w:pPr>
            <w:r>
              <w:rPr>
                <w:rFonts w:ascii="Arial" w:hAnsi="Arial"/>
                <w:sz w:val="24"/>
              </w:rPr>
              <w:t>25.05</w:t>
            </w:r>
          </w:p>
        </w:tc>
        <w:tc>
          <w:tcPr>
            <w:tcW w:type="dxa" w:w="1728"/>
          </w:tcPr>
          <w:p>
            <w:pPr>
              <w:jc w:val="center"/>
              <w:bidi w:val="1"/>
            </w:pPr>
            <w:r>
              <w:rPr>
                <w:rFonts w:ascii="Arial" w:hAnsi="Arial"/>
                <w:sz w:val="24"/>
              </w:rPr>
              <w:t>26.90</w:t>
            </w:r>
          </w:p>
        </w:tc>
        <w:tc>
          <w:tcPr>
            <w:tcW w:type="dxa" w:w="1728"/>
          </w:tcPr>
          <w:p>
            <w:pPr>
              <w:jc w:val="center"/>
              <w:bidi w:val="1"/>
            </w:pPr>
            <w:r>
              <w:rPr>
                <w:rFonts w:ascii="Arial" w:hAnsi="Arial"/>
                <w:sz w:val="24"/>
              </w:rPr>
              <w:t>24.85</w:t>
            </w:r>
          </w:p>
        </w:tc>
        <w:tc>
          <w:tcPr>
            <w:tcW w:type="dxa" w:w="1728"/>
          </w:tcPr>
          <w:p>
            <w:pPr>
              <w:jc w:val="center"/>
              <w:bidi w:val="1"/>
            </w:pPr>
            <w:r>
              <w:rPr>
                <w:rFonts w:ascii="Arial" w:hAnsi="Arial"/>
                <w:sz w:val="24"/>
              </w:rPr>
              <w:t>28.45</w:t>
            </w:r>
          </w:p>
        </w:tc>
      </w:tr>
      <w:tr>
        <w:tc>
          <w:tcPr>
            <w:tcW w:type="dxa" w:w="1728"/>
          </w:tcPr>
          <w:p>
            <w:pPr>
              <w:jc w:val="center"/>
              <w:bidi w:val="1"/>
            </w:pPr>
            <w:r>
              <w:rPr>
                <w:rFonts w:ascii="Arial" w:hAnsi="Arial"/>
                <w:sz w:val="24"/>
              </w:rPr>
              <w:t>3. النشاط العالي والعمل الجاد</w:t>
            </w:r>
          </w:p>
        </w:tc>
        <w:tc>
          <w:tcPr>
            <w:tcW w:type="dxa" w:w="1728"/>
          </w:tcPr>
          <w:p>
            <w:pPr>
              <w:jc w:val="center"/>
              <w:bidi w:val="1"/>
            </w:pPr>
            <w:r>
              <w:rPr>
                <w:rFonts w:ascii="Arial" w:hAnsi="Arial"/>
                <w:sz w:val="24"/>
              </w:rPr>
              <w:t>24.30</w:t>
            </w:r>
          </w:p>
        </w:tc>
        <w:tc>
          <w:tcPr>
            <w:tcW w:type="dxa" w:w="1728"/>
          </w:tcPr>
          <w:p>
            <w:pPr>
              <w:jc w:val="center"/>
              <w:bidi w:val="1"/>
            </w:pPr>
            <w:r>
              <w:rPr>
                <w:rFonts w:ascii="Arial" w:hAnsi="Arial"/>
                <w:sz w:val="24"/>
              </w:rPr>
              <w:t>26.50</w:t>
            </w:r>
          </w:p>
        </w:tc>
        <w:tc>
          <w:tcPr>
            <w:tcW w:type="dxa" w:w="1728"/>
          </w:tcPr>
          <w:p>
            <w:pPr>
              <w:jc w:val="center"/>
              <w:bidi w:val="1"/>
            </w:pPr>
            <w:r>
              <w:rPr>
                <w:rFonts w:ascii="Arial" w:hAnsi="Arial"/>
                <w:sz w:val="24"/>
              </w:rPr>
              <w:t>26.30</w:t>
            </w:r>
          </w:p>
        </w:tc>
        <w:tc>
          <w:tcPr>
            <w:tcW w:type="dxa" w:w="1728"/>
          </w:tcPr>
          <w:p>
            <w:pPr>
              <w:jc w:val="center"/>
              <w:bidi w:val="1"/>
            </w:pPr>
            <w:r>
              <w:rPr>
                <w:rFonts w:ascii="Arial" w:hAnsi="Arial"/>
                <w:sz w:val="24"/>
              </w:rPr>
              <w:t>29.25</w:t>
            </w:r>
          </w:p>
        </w:tc>
      </w:tr>
      <w:tr>
        <w:tc>
          <w:tcPr>
            <w:tcW w:type="dxa" w:w="1728"/>
          </w:tcPr>
          <w:p>
            <w:pPr>
              <w:jc w:val="center"/>
              <w:bidi w:val="1"/>
            </w:pPr>
            <w:r>
              <w:rPr>
                <w:rFonts w:ascii="Arial" w:hAnsi="Arial"/>
                <w:sz w:val="24"/>
              </w:rPr>
              <w:t>4. الاندماج الكامل في العمل</w:t>
            </w:r>
          </w:p>
        </w:tc>
        <w:tc>
          <w:tcPr>
            <w:tcW w:type="dxa" w:w="1728"/>
          </w:tcPr>
          <w:p>
            <w:pPr>
              <w:jc w:val="center"/>
              <w:bidi w:val="1"/>
            </w:pPr>
            <w:r>
              <w:rPr>
                <w:rFonts w:ascii="Arial" w:hAnsi="Arial"/>
                <w:sz w:val="24"/>
              </w:rPr>
              <w:t>23.90</w:t>
            </w:r>
          </w:p>
        </w:tc>
        <w:tc>
          <w:tcPr>
            <w:tcW w:type="dxa" w:w="1728"/>
          </w:tcPr>
          <w:p>
            <w:pPr>
              <w:jc w:val="center"/>
              <w:bidi w:val="1"/>
            </w:pPr>
            <w:r>
              <w:rPr>
                <w:rFonts w:ascii="Arial" w:hAnsi="Arial"/>
                <w:sz w:val="24"/>
              </w:rPr>
              <w:t>28.20</w:t>
            </w:r>
          </w:p>
        </w:tc>
        <w:tc>
          <w:tcPr>
            <w:tcW w:type="dxa" w:w="1728"/>
          </w:tcPr>
          <w:p>
            <w:pPr>
              <w:jc w:val="center"/>
              <w:bidi w:val="1"/>
            </w:pPr>
            <w:r>
              <w:rPr>
                <w:rFonts w:ascii="Arial" w:hAnsi="Arial"/>
                <w:sz w:val="24"/>
              </w:rPr>
              <w:t>26.40</w:t>
            </w:r>
          </w:p>
        </w:tc>
        <w:tc>
          <w:tcPr>
            <w:tcW w:type="dxa" w:w="1728"/>
          </w:tcPr>
          <w:p>
            <w:pPr>
              <w:jc w:val="center"/>
              <w:bidi w:val="1"/>
            </w:pPr>
            <w:r>
              <w:rPr>
                <w:rFonts w:ascii="Arial" w:hAnsi="Arial"/>
                <w:sz w:val="24"/>
              </w:rPr>
              <w:t>29.15</w:t>
            </w:r>
          </w:p>
        </w:tc>
      </w:tr>
      <w:tr>
        <w:tc>
          <w:tcPr>
            <w:tcW w:type="dxa" w:w="1728"/>
          </w:tcPr>
          <w:p>
            <w:pPr>
              <w:jc w:val="center"/>
              <w:bidi w:val="1"/>
            </w:pPr>
            <w:r>
              <w:rPr>
                <w:rFonts w:ascii="Arial" w:hAnsi="Arial"/>
                <w:sz w:val="24"/>
              </w:rPr>
              <w:t>5. تركيز الانتباه ومواجهة التحديات</w:t>
            </w:r>
          </w:p>
        </w:tc>
        <w:tc>
          <w:tcPr>
            <w:tcW w:type="dxa" w:w="1728"/>
          </w:tcPr>
          <w:p>
            <w:pPr>
              <w:jc w:val="center"/>
              <w:bidi w:val="1"/>
            </w:pPr>
            <w:r>
              <w:rPr>
                <w:rFonts w:ascii="Arial" w:hAnsi="Arial"/>
                <w:sz w:val="24"/>
              </w:rPr>
              <w:t>24.60</w:t>
            </w:r>
          </w:p>
        </w:tc>
        <w:tc>
          <w:tcPr>
            <w:tcW w:type="dxa" w:w="1728"/>
          </w:tcPr>
          <w:p>
            <w:pPr>
              <w:jc w:val="center"/>
              <w:bidi w:val="1"/>
            </w:pPr>
            <w:r>
              <w:rPr>
                <w:rFonts w:ascii="Arial" w:hAnsi="Arial"/>
                <w:sz w:val="24"/>
              </w:rPr>
              <w:t>26.80</w:t>
            </w:r>
          </w:p>
        </w:tc>
        <w:tc>
          <w:tcPr>
            <w:tcW w:type="dxa" w:w="1728"/>
          </w:tcPr>
          <w:p>
            <w:pPr>
              <w:jc w:val="center"/>
              <w:bidi w:val="1"/>
            </w:pPr>
            <w:r>
              <w:rPr>
                <w:rFonts w:ascii="Arial" w:hAnsi="Arial"/>
                <w:sz w:val="24"/>
              </w:rPr>
              <w:t>26.25</w:t>
            </w:r>
          </w:p>
        </w:tc>
        <w:tc>
          <w:tcPr>
            <w:tcW w:type="dxa" w:w="1728"/>
          </w:tcPr>
          <w:p>
            <w:pPr>
              <w:jc w:val="center"/>
              <w:bidi w:val="1"/>
            </w:pPr>
            <w:r>
              <w:rPr>
                <w:rFonts w:ascii="Arial" w:hAnsi="Arial"/>
                <w:sz w:val="24"/>
              </w:rPr>
              <w:t>28.40</w:t>
            </w:r>
          </w:p>
        </w:tc>
      </w:tr>
      <w:tr>
        <w:tc>
          <w:tcPr>
            <w:tcW w:type="dxa" w:w="1728"/>
          </w:tcPr>
          <w:p>
            <w:pPr>
              <w:jc w:val="center"/>
              <w:bidi w:val="1"/>
            </w:pPr>
            <w:r>
              <w:rPr>
                <w:rFonts w:ascii="Arial" w:hAnsi="Arial"/>
                <w:sz w:val="24"/>
              </w:rPr>
              <w:t>6. نسيان الذات والزمان والمكان</w:t>
            </w:r>
          </w:p>
        </w:tc>
        <w:tc>
          <w:tcPr>
            <w:tcW w:type="dxa" w:w="1728"/>
          </w:tcPr>
          <w:p>
            <w:pPr>
              <w:jc w:val="center"/>
              <w:bidi w:val="1"/>
            </w:pPr>
            <w:r>
              <w:rPr>
                <w:rFonts w:ascii="Arial" w:hAnsi="Arial"/>
                <w:sz w:val="24"/>
              </w:rPr>
              <w:t>24.55</w:t>
            </w:r>
          </w:p>
        </w:tc>
        <w:tc>
          <w:tcPr>
            <w:tcW w:type="dxa" w:w="1728"/>
          </w:tcPr>
          <w:p>
            <w:pPr>
              <w:jc w:val="center"/>
              <w:bidi w:val="1"/>
            </w:pPr>
            <w:r>
              <w:rPr>
                <w:rFonts w:ascii="Arial" w:hAnsi="Arial"/>
                <w:sz w:val="24"/>
              </w:rPr>
              <w:t>28.55</w:t>
            </w:r>
          </w:p>
        </w:tc>
        <w:tc>
          <w:tcPr>
            <w:tcW w:type="dxa" w:w="1728"/>
          </w:tcPr>
          <w:p>
            <w:pPr>
              <w:jc w:val="center"/>
              <w:bidi w:val="1"/>
            </w:pPr>
            <w:r>
              <w:rPr>
                <w:rFonts w:ascii="Arial" w:hAnsi="Arial"/>
                <w:sz w:val="24"/>
              </w:rPr>
              <w:t>26.85</w:t>
            </w:r>
          </w:p>
        </w:tc>
        <w:tc>
          <w:tcPr>
            <w:tcW w:type="dxa" w:w="1728"/>
          </w:tcPr>
          <w:p>
            <w:pPr>
              <w:jc w:val="center"/>
              <w:bidi w:val="1"/>
            </w:pPr>
            <w:r>
              <w:rPr>
                <w:rFonts w:ascii="Arial" w:hAnsi="Arial"/>
                <w:sz w:val="24"/>
              </w:rPr>
              <w:t>29.00</w:t>
            </w:r>
          </w:p>
        </w:tc>
      </w:tr>
      <w:tr>
        <w:tc>
          <w:tcPr>
            <w:tcW w:type="dxa" w:w="1728"/>
          </w:tcPr>
          <w:p>
            <w:pPr>
              <w:jc w:val="center"/>
              <w:bidi w:val="1"/>
            </w:pPr>
            <w:r>
              <w:rPr>
                <w:rFonts w:ascii="Arial" w:hAnsi="Arial"/>
                <w:sz w:val="24"/>
              </w:rPr>
              <w:t>7. المتعة والدافعية</w:t>
            </w:r>
          </w:p>
        </w:tc>
        <w:tc>
          <w:tcPr>
            <w:tcW w:type="dxa" w:w="1728"/>
          </w:tcPr>
          <w:p>
            <w:pPr>
              <w:jc w:val="center"/>
              <w:bidi w:val="1"/>
            </w:pPr>
            <w:r>
              <w:rPr>
                <w:rFonts w:ascii="Arial" w:hAnsi="Arial"/>
                <w:sz w:val="24"/>
              </w:rPr>
              <w:t>24.80</w:t>
            </w:r>
          </w:p>
        </w:tc>
        <w:tc>
          <w:tcPr>
            <w:tcW w:type="dxa" w:w="1728"/>
          </w:tcPr>
          <w:p>
            <w:pPr>
              <w:jc w:val="center"/>
              <w:bidi w:val="1"/>
            </w:pPr>
            <w:r>
              <w:rPr>
                <w:rFonts w:ascii="Arial" w:hAnsi="Arial"/>
                <w:sz w:val="24"/>
              </w:rPr>
              <w:t>26.85</w:t>
            </w:r>
          </w:p>
        </w:tc>
        <w:tc>
          <w:tcPr>
            <w:tcW w:type="dxa" w:w="1728"/>
          </w:tcPr>
          <w:p>
            <w:pPr>
              <w:jc w:val="center"/>
              <w:bidi w:val="1"/>
            </w:pPr>
            <w:r>
              <w:rPr>
                <w:rFonts w:ascii="Arial" w:hAnsi="Arial"/>
                <w:sz w:val="24"/>
              </w:rPr>
              <w:t>27.65</w:t>
            </w:r>
          </w:p>
        </w:tc>
        <w:tc>
          <w:tcPr>
            <w:tcW w:type="dxa" w:w="1728"/>
          </w:tcPr>
          <w:p>
            <w:pPr>
              <w:jc w:val="center"/>
              <w:bidi w:val="1"/>
            </w:pPr>
            <w:r>
              <w:rPr>
                <w:rFonts w:ascii="Arial" w:hAnsi="Arial"/>
                <w:sz w:val="24"/>
              </w:rPr>
              <w:t>28.35</w:t>
            </w:r>
          </w:p>
        </w:tc>
      </w:tr>
      <w:tr>
        <w:tc>
          <w:tcPr>
            <w:tcW w:type="dxa" w:w="1728"/>
          </w:tcPr>
          <w:p>
            <w:pPr>
              <w:jc w:val="center"/>
              <w:bidi w:val="1"/>
            </w:pPr>
            <w:r>
              <w:rPr>
                <w:rFonts w:ascii="Arial" w:hAnsi="Arial"/>
                <w:sz w:val="24"/>
              </w:rPr>
              <w:t>8. الأداء التلقائي واتخاذ القرارات</w:t>
            </w:r>
          </w:p>
        </w:tc>
        <w:tc>
          <w:tcPr>
            <w:tcW w:type="dxa" w:w="1728"/>
          </w:tcPr>
          <w:p>
            <w:pPr>
              <w:jc w:val="center"/>
              <w:bidi w:val="1"/>
            </w:pPr>
            <w:r>
              <w:rPr>
                <w:rFonts w:ascii="Arial" w:hAnsi="Arial"/>
                <w:sz w:val="24"/>
              </w:rPr>
              <w:t>25.00</w:t>
            </w:r>
          </w:p>
        </w:tc>
        <w:tc>
          <w:tcPr>
            <w:tcW w:type="dxa" w:w="1728"/>
          </w:tcPr>
          <w:p>
            <w:pPr>
              <w:jc w:val="center"/>
              <w:bidi w:val="1"/>
            </w:pPr>
            <w:r>
              <w:rPr>
                <w:rFonts w:ascii="Arial" w:hAnsi="Arial"/>
                <w:sz w:val="24"/>
              </w:rPr>
              <w:t>28.40</w:t>
            </w:r>
          </w:p>
        </w:tc>
        <w:tc>
          <w:tcPr>
            <w:tcW w:type="dxa" w:w="1728"/>
          </w:tcPr>
          <w:p>
            <w:pPr>
              <w:jc w:val="center"/>
              <w:bidi w:val="1"/>
            </w:pPr>
            <w:r>
              <w:rPr>
                <w:rFonts w:ascii="Arial" w:hAnsi="Arial"/>
                <w:sz w:val="24"/>
              </w:rPr>
              <w:t>26.60</w:t>
            </w:r>
          </w:p>
        </w:tc>
        <w:tc>
          <w:tcPr>
            <w:tcW w:type="dxa" w:w="1728"/>
          </w:tcPr>
          <w:p>
            <w:pPr>
              <w:jc w:val="center"/>
              <w:bidi w:val="1"/>
            </w:pPr>
            <w:r>
              <w:rPr>
                <w:rFonts w:ascii="Arial" w:hAnsi="Arial"/>
                <w:sz w:val="24"/>
              </w:rPr>
              <w:t>30.00</w:t>
            </w:r>
          </w:p>
        </w:tc>
      </w:tr>
    </w:tbl>
    <w:p/>
    <w:p>
      <w:pPr>
        <w:jc w:val="right"/>
        <w:bidi w:val="1"/>
      </w:pPr>
      <w:r>
        <w:rPr>
          <w:rFonts w:ascii="Arial" w:hAnsi="Arial"/>
          <w:sz w:val="28"/>
        </w:rPr>
        <w:t>ب) التحقق من تكافؤ المجموعات (القياس القبلي) وافتراضات تحليل التباين:</w:t>
      </w:r>
    </w:p>
    <w:p>
      <w:pPr>
        <w:jc w:val="right"/>
        <w:bidi w:val="1"/>
      </w:pPr>
      <w:r>
        <w:rPr>
          <w:rFonts w:ascii="Arial" w:hAnsi="Arial"/>
          <w:sz w:val="28"/>
        </w:rPr>
        <w:t>لضمان صحة نتائج التجربة، تم إجراء تحليل التباين الأحادي (One-way ANOVA) للقياس القبلي للتأكد من عدم وجود فروق ذات دلالة إحصائية بين المجموعات الأربع قبل بدء التجربة.</w:t>
      </w:r>
    </w:p>
    <w:p/>
    <w:p>
      <w:pPr>
        <w:jc w:val="center"/>
        <w:bidi w:val="1"/>
      </w:pPr>
      <w:r>
        <w:rPr>
          <w:rFonts w:ascii="Arial" w:hAnsi="Arial"/>
          <w:b/>
          <w:sz w:val="24"/>
        </w:rPr>
        <w:t>جدول (×): نتائج اختبار تكافؤ المجموعات في القياس القبلي</w:t>
      </w:r>
    </w:p>
    <w:tbl>
      <w:tblPr>
        <w:tblStyle w:val="TableGrid"/>
        <w:tblW w:type="auto" w:w="0"/>
        <w:tblLook w:firstColumn="1" w:firstRow="1" w:lastColumn="0" w:lastRow="0" w:noHBand="0" w:noVBand="1" w:val="04A0"/>
        <w:bidiVisual w:val="1"/>
      </w:tblPr>
      <w:tblGrid>
        <w:gridCol w:w="2880"/>
        <w:gridCol w:w="2880"/>
        <w:gridCol w:w="2880"/>
      </w:tblGrid>
      <w:tr>
        <w:tc>
          <w:tcPr>
            <w:tcW w:type="dxa" w:w="2880"/>
          </w:tcPr>
          <w:p>
            <w:pPr>
              <w:jc w:val="center"/>
              <w:bidi w:val="1"/>
            </w:pPr>
            <w:r>
              <w:rPr>
                <w:rFonts w:ascii="Arial" w:hAnsi="Arial"/>
                <w:b/>
                <w:sz w:val="24"/>
              </w:rPr>
              <w:t>المتغير التابع</w:t>
            </w:r>
          </w:p>
        </w:tc>
        <w:tc>
          <w:tcPr>
            <w:tcW w:type="dxa" w:w="2880"/>
          </w:tcPr>
          <w:p>
            <w:pPr>
              <w:jc w:val="center"/>
              <w:bidi w:val="1"/>
            </w:pPr>
            <w:r>
              <w:rPr>
                <w:rFonts w:ascii="Arial" w:hAnsi="Arial"/>
                <w:b/>
                <w:sz w:val="24"/>
              </w:rPr>
              <w:t>قيمة F</w:t>
            </w:r>
          </w:p>
        </w:tc>
        <w:tc>
          <w:tcPr>
            <w:tcW w:type="dxa" w:w="2880"/>
          </w:tcPr>
          <w:p>
            <w:pPr>
              <w:jc w:val="center"/>
              <w:bidi w:val="1"/>
            </w:pPr>
            <w:r>
              <w:rPr>
                <w:rFonts w:ascii="Arial" w:hAnsi="Arial"/>
                <w:b/>
                <w:sz w:val="24"/>
              </w:rPr>
              <w:t>مستوى الدلالة</w:t>
            </w:r>
          </w:p>
        </w:tc>
      </w:tr>
      <w:tr>
        <w:tc>
          <w:tcPr>
            <w:tcW w:type="dxa" w:w="2880"/>
          </w:tcPr>
          <w:p>
            <w:pPr>
              <w:jc w:val="center"/>
              <w:bidi w:val="1"/>
            </w:pPr>
            <w:r>
              <w:rPr>
                <w:rFonts w:ascii="Arial" w:hAnsi="Arial"/>
                <w:sz w:val="24"/>
              </w:rPr>
              <w:t>حل المشكلات (قبلي)</w:t>
            </w:r>
          </w:p>
        </w:tc>
        <w:tc>
          <w:tcPr>
            <w:tcW w:type="dxa" w:w="2880"/>
          </w:tcPr>
          <w:p>
            <w:pPr>
              <w:jc w:val="center"/>
              <w:bidi w:val="1"/>
            </w:pPr>
            <w:r>
              <w:rPr>
                <w:rFonts w:ascii="Arial" w:hAnsi="Arial"/>
                <w:sz w:val="24"/>
              </w:rPr>
              <w:t>0.004</w:t>
            </w:r>
          </w:p>
        </w:tc>
        <w:tc>
          <w:tcPr>
            <w:tcW w:type="dxa" w:w="2880"/>
          </w:tcPr>
          <w:p>
            <w:pPr>
              <w:jc w:val="center"/>
              <w:bidi w:val="1"/>
            </w:pPr>
            <w:r>
              <w:rPr>
                <w:rFonts w:ascii="Arial" w:hAnsi="Arial"/>
                <w:sz w:val="24"/>
              </w:rPr>
              <w:t>1.000</w:t>
            </w:r>
          </w:p>
        </w:tc>
      </w:tr>
      <w:tr>
        <w:tc>
          <w:tcPr>
            <w:tcW w:type="dxa" w:w="2880"/>
          </w:tcPr>
          <w:p>
            <w:pPr>
              <w:jc w:val="center"/>
              <w:bidi w:val="1"/>
            </w:pPr>
            <w:r>
              <w:rPr>
                <w:rFonts w:ascii="Arial" w:hAnsi="Arial"/>
                <w:sz w:val="24"/>
              </w:rPr>
              <w:t>التدفق الذهني (قبلي)</w:t>
            </w:r>
          </w:p>
        </w:tc>
        <w:tc>
          <w:tcPr>
            <w:tcW w:type="dxa" w:w="2880"/>
          </w:tcPr>
          <w:p>
            <w:pPr>
              <w:jc w:val="center"/>
              <w:bidi w:val="1"/>
            </w:pPr>
            <w:r>
              <w:rPr>
                <w:rFonts w:ascii="Arial" w:hAnsi="Arial"/>
                <w:sz w:val="24"/>
              </w:rPr>
              <w:t>1.460</w:t>
            </w:r>
          </w:p>
        </w:tc>
        <w:tc>
          <w:tcPr>
            <w:tcW w:type="dxa" w:w="2880"/>
          </w:tcPr>
          <w:p>
            <w:pPr>
              <w:jc w:val="center"/>
              <w:bidi w:val="1"/>
            </w:pPr>
            <w:r>
              <w:rPr>
                <w:rFonts w:ascii="Arial" w:hAnsi="Arial"/>
                <w:sz w:val="24"/>
              </w:rPr>
              <w:t>0.232</w:t>
            </w:r>
          </w:p>
        </w:tc>
      </w:tr>
    </w:tbl>
    <w:p/>
    <w:p>
      <w:pPr>
        <w:jc w:val="right"/>
        <w:bidi w:val="1"/>
      </w:pPr>
      <w:r>
        <w:rPr>
          <w:rFonts w:ascii="Arial" w:hAnsi="Arial"/>
          <w:sz w:val="28"/>
        </w:rPr>
        <w:t>يتضح من الجدول عدم وجود فروق دالة إحصائياً بين المجموعات التجريبية الأربع في القياس القبلي لكل من اختبار حل المشكلات (p = 1.000) ومقياس التدفق الذهني (p = 0.232)، حيث أن قيم مستوى الدلالة أكبر من (0.05). وهذا يؤكد تكافؤ المجموعات قبل تطبيق التجربة.</w:t>
      </w:r>
    </w:p>
    <w:p/>
    <w:p>
      <w:pPr>
        <w:jc w:val="right"/>
        <w:bidi w:val="1"/>
      </w:pPr>
      <w:r>
        <w:rPr>
          <w:rFonts w:ascii="Arial" w:hAnsi="Arial"/>
          <w:sz w:val="28"/>
        </w:rPr>
        <w:t>كما تم التحقق من اعتدالية التوزيع باستخدام اختبار شابيرو-ويلك (Shapiro-Wilk)؛ حيث تراوحت قيم (p) لحل المشكلات بين (0.151) و(0.634)، وللتدفق الذهني بين (0.276) و(0.780)، وجميعها أكبر من (0.05)، مما يدل على اعتدالية التوزيع.</w:t>
      </w:r>
    </w:p>
    <w:p/>
    <w:p>
      <w:pPr>
        <w:jc w:val="right"/>
        <w:bidi w:val="1"/>
      </w:pPr>
      <w:r>
        <w:rPr>
          <w:rFonts w:ascii="Arial" w:hAnsi="Arial"/>
          <w:sz w:val="28"/>
        </w:rPr>
        <w:t>كذلك تم التحقق من تجانس التباين باستخدام اختبار ليفين (Levene's Test)؛ حيث بلغت قيمته للتدفق الذهني (1.433) بمستوى دلالة (0.240) وهي غير دالة، مما يؤكد تجانس التباين. أما بالنسبة لحل المشكلات فبلغت قيمة ليفين (2.832) بمستوى دلالة (0.044)، ومع ذلك يُعد تحليل التباين (ANOVA) قوياً ومقاوماً (Robust) لانتهاك شرط التجانس عندما تكون أحجام العينات متساوية تماماً في جميع المجموعات (ن = 20 في كل مجموعة).</w:t>
      </w:r>
    </w:p>
    <w:p/>
    <w:p>
      <w:pPr>
        <w:jc w:val="right"/>
        <w:bidi w:val="1"/>
      </w:pPr>
      <w:r>
        <w:rPr>
          <w:rFonts w:ascii="Arial" w:hAnsi="Arial"/>
          <w:sz w:val="28"/>
        </w:rPr>
        <w:t>ج) نتائج اختبار فروض البحث:</w:t>
      </w:r>
    </w:p>
    <w:p>
      <w:pPr>
        <w:jc w:val="right"/>
        <w:bidi w:val="1"/>
      </w:pPr>
      <w:r>
        <w:rPr>
          <w:rFonts w:ascii="Arial" w:hAnsi="Arial"/>
          <w:sz w:val="28"/>
        </w:rPr>
        <w:t>وللكشف عن الدلالة الإحصائية للفروق بين المتوسطات، والتحقق من صحة الفروض الستة، قام الباحث باستخدام تحليل التباين ثنائي الاتجاه (Two-way ANOVA) كما يلي:</w:t>
      </w:r>
    </w:p>
    <w:p/>
    <w:p>
      <w:pPr>
        <w:jc w:val="right"/>
        <w:bidi w:val="1"/>
      </w:pPr>
      <w:r>
        <w:rPr>
          <w:rFonts w:ascii="Arial" w:hAnsi="Arial"/>
          <w:sz w:val="28"/>
        </w:rPr>
        <w:t>الفرض الأول:</w:t>
      </w:r>
    </w:p>
    <w:p>
      <w:pPr>
        <w:jc w:val="right"/>
        <w:bidi w:val="1"/>
      </w:pPr>
      <w:r>
        <w:rPr>
          <w:rFonts w:ascii="Arial" w:hAnsi="Arial"/>
          <w:sz w:val="28"/>
        </w:rPr>
        <w:t>نص الفرض الأول على: "لا يوجد فرق دال إحصائياً عند مستوى دلالة (≤ 0.05) بين متوسطات درجات طلاب المجموعات التجريبية في القياس البعدي لمقياس حل المشكلات الأخلاقية البيوطبية يرجع للتأثير الرئيسي لنمط حشد المصادر (تنافسي/تشاركي)".</w:t>
      </w:r>
    </w:p>
    <w:p/>
    <w:p>
      <w:pPr>
        <w:jc w:val="center"/>
        <w:bidi w:val="1"/>
      </w:pPr>
      <w:r>
        <w:rPr>
          <w:rFonts w:ascii="Arial" w:hAnsi="Arial"/>
          <w:b/>
          <w:sz w:val="24"/>
        </w:rPr>
        <w:t>جدول (×): نتائج تحليل التباين الثنائي (Two-way ANOVA) للتأثير الرئيسي لنمط الحشد على حل المشكلات</w:t>
      </w:r>
    </w:p>
    <w:tbl>
      <w:tblPr>
        <w:tblStyle w:val="TableGrid"/>
        <w:tblW w:type="auto" w:w="0"/>
        <w:tblLook w:firstColumn="1" w:firstRow="1" w:lastColumn="0" w:lastRow="0" w:noHBand="0" w:noVBand="1" w:val="04A0"/>
        <w:bidiVisual w:val="1"/>
      </w:tblPr>
      <w:tblGrid>
        <w:gridCol w:w="1080"/>
        <w:gridCol w:w="1080"/>
        <w:gridCol w:w="1080"/>
        <w:gridCol w:w="1080"/>
        <w:gridCol w:w="1080"/>
        <w:gridCol w:w="1080"/>
        <w:gridCol w:w="1080"/>
        <w:gridCol w:w="1080"/>
      </w:tblGrid>
      <w:tr>
        <w:tc>
          <w:tcPr>
            <w:tcW w:type="dxa" w:w="1080"/>
          </w:tcPr>
          <w:p>
            <w:pPr>
              <w:jc w:val="center"/>
              <w:bidi w:val="1"/>
            </w:pPr>
            <w:r>
              <w:rPr>
                <w:rFonts w:ascii="Arial" w:hAnsi="Arial"/>
                <w:b/>
                <w:sz w:val="24"/>
              </w:rPr>
              <w:t>مصدر التباين</w:t>
            </w:r>
          </w:p>
        </w:tc>
        <w:tc>
          <w:tcPr>
            <w:tcW w:type="dxa" w:w="1080"/>
          </w:tcPr>
          <w:p>
            <w:pPr>
              <w:jc w:val="center"/>
              <w:bidi w:val="1"/>
            </w:pPr>
            <w:r>
              <w:rPr>
                <w:rFonts w:ascii="Arial" w:hAnsi="Arial"/>
                <w:b/>
                <w:sz w:val="24"/>
              </w:rPr>
              <w:t>مجموع المربعات (SS)</w:t>
            </w:r>
          </w:p>
        </w:tc>
        <w:tc>
          <w:tcPr>
            <w:tcW w:type="dxa" w:w="1080"/>
          </w:tcPr>
          <w:p>
            <w:pPr>
              <w:jc w:val="center"/>
              <w:bidi w:val="1"/>
            </w:pPr>
            <w:r>
              <w:rPr>
                <w:rFonts w:ascii="Arial" w:hAnsi="Arial"/>
                <w:b/>
                <w:sz w:val="24"/>
              </w:rPr>
              <w:t>درجات الحرية (df)</w:t>
            </w:r>
          </w:p>
        </w:tc>
        <w:tc>
          <w:tcPr>
            <w:tcW w:type="dxa" w:w="1080"/>
          </w:tcPr>
          <w:p>
            <w:pPr>
              <w:jc w:val="center"/>
              <w:bidi w:val="1"/>
            </w:pPr>
            <w:r>
              <w:rPr>
                <w:rFonts w:ascii="Arial" w:hAnsi="Arial"/>
                <w:b/>
                <w:sz w:val="24"/>
              </w:rPr>
              <w:t>متوسط المربعات (MS)</w:t>
            </w:r>
          </w:p>
        </w:tc>
        <w:tc>
          <w:tcPr>
            <w:tcW w:type="dxa" w:w="1080"/>
          </w:tcPr>
          <w:p>
            <w:pPr>
              <w:jc w:val="center"/>
              <w:bidi w:val="1"/>
            </w:pPr>
            <w:r>
              <w:rPr>
                <w:rFonts w:ascii="Arial" w:hAnsi="Arial"/>
                <w:b/>
                <w:sz w:val="24"/>
              </w:rPr>
              <w:t>قيمة F</w:t>
            </w:r>
          </w:p>
        </w:tc>
        <w:tc>
          <w:tcPr>
            <w:tcW w:type="dxa" w:w="1080"/>
          </w:tcPr>
          <w:p>
            <w:pPr>
              <w:jc w:val="center"/>
              <w:bidi w:val="1"/>
            </w:pPr>
            <w:r>
              <w:rPr>
                <w:rFonts w:ascii="Arial" w:hAnsi="Arial"/>
                <w:b/>
                <w:sz w:val="24"/>
              </w:rPr>
              <w:t>مستوى الدلالة (Sig)</w:t>
            </w:r>
          </w:p>
        </w:tc>
        <w:tc>
          <w:tcPr>
            <w:tcW w:type="dxa" w:w="1080"/>
          </w:tcPr>
          <w:p>
            <w:pPr>
              <w:jc w:val="center"/>
              <w:bidi w:val="1"/>
            </w:pPr>
            <w:r>
              <w:rPr>
                <w:rFonts w:ascii="Arial" w:hAnsi="Arial"/>
                <w:b/>
                <w:sz w:val="24"/>
              </w:rPr>
              <w:t>مربع إيتا (η²)</w:t>
            </w:r>
          </w:p>
        </w:tc>
        <w:tc>
          <w:tcPr>
            <w:tcW w:type="dxa" w:w="1080"/>
          </w:tcPr>
          <w:p>
            <w:pPr>
              <w:jc w:val="center"/>
              <w:bidi w:val="1"/>
            </w:pPr>
            <w:r>
              <w:rPr>
                <w:rFonts w:ascii="Arial" w:hAnsi="Arial"/>
                <w:b/>
                <w:sz w:val="24"/>
              </w:rPr>
              <w:t>حجم التأثير</w:t>
            </w:r>
          </w:p>
        </w:tc>
      </w:tr>
      <w:tr>
        <w:tc>
          <w:tcPr>
            <w:tcW w:type="dxa" w:w="1080"/>
          </w:tcPr>
          <w:p>
            <w:pPr>
              <w:jc w:val="center"/>
              <w:bidi w:val="1"/>
            </w:pPr>
            <w:r>
              <w:rPr>
                <w:rFonts w:ascii="Arial" w:hAnsi="Arial"/>
                <w:sz w:val="24"/>
              </w:rPr>
              <w:t>نمط الحشد</w:t>
            </w:r>
          </w:p>
        </w:tc>
        <w:tc>
          <w:tcPr>
            <w:tcW w:type="dxa" w:w="1080"/>
          </w:tcPr>
          <w:p>
            <w:pPr>
              <w:jc w:val="center"/>
              <w:bidi w:val="1"/>
            </w:pPr>
            <w:r>
              <w:rPr>
                <w:rFonts w:ascii="Arial" w:hAnsi="Arial"/>
                <w:sz w:val="24"/>
              </w:rPr>
              <w:t>273.80</w:t>
            </w:r>
          </w:p>
        </w:tc>
        <w:tc>
          <w:tcPr>
            <w:tcW w:type="dxa" w:w="1080"/>
          </w:tcPr>
          <w:p>
            <w:pPr>
              <w:jc w:val="center"/>
              <w:bidi w:val="1"/>
            </w:pPr>
            <w:r>
              <w:rPr>
                <w:rFonts w:ascii="Arial" w:hAnsi="Arial"/>
                <w:sz w:val="24"/>
              </w:rPr>
              <w:t>1</w:t>
            </w:r>
          </w:p>
        </w:tc>
        <w:tc>
          <w:tcPr>
            <w:tcW w:type="dxa" w:w="1080"/>
          </w:tcPr>
          <w:p>
            <w:pPr>
              <w:jc w:val="center"/>
              <w:bidi w:val="1"/>
            </w:pPr>
            <w:r>
              <w:rPr>
                <w:rFonts w:ascii="Arial" w:hAnsi="Arial"/>
                <w:sz w:val="24"/>
              </w:rPr>
              <w:t>273.80</w:t>
            </w:r>
          </w:p>
        </w:tc>
        <w:tc>
          <w:tcPr>
            <w:tcW w:type="dxa" w:w="1080"/>
          </w:tcPr>
          <w:p>
            <w:pPr>
              <w:jc w:val="center"/>
              <w:bidi w:val="1"/>
            </w:pPr>
            <w:r>
              <w:rPr>
                <w:rFonts w:ascii="Arial" w:hAnsi="Arial"/>
                <w:sz w:val="24"/>
              </w:rPr>
              <w:t>24.31</w:t>
            </w:r>
          </w:p>
        </w:tc>
        <w:tc>
          <w:tcPr>
            <w:tcW w:type="dxa" w:w="1080"/>
          </w:tcPr>
          <w:p>
            <w:pPr>
              <w:jc w:val="center"/>
              <w:bidi w:val="1"/>
            </w:pPr>
            <w:r>
              <w:rPr>
                <w:rFonts w:ascii="Arial" w:hAnsi="Arial"/>
                <w:sz w:val="24"/>
              </w:rPr>
              <w:t>0.000</w:t>
            </w:r>
          </w:p>
        </w:tc>
        <w:tc>
          <w:tcPr>
            <w:tcW w:type="dxa" w:w="1080"/>
          </w:tcPr>
          <w:p>
            <w:pPr>
              <w:jc w:val="center"/>
              <w:bidi w:val="1"/>
            </w:pPr>
            <w:r>
              <w:rPr>
                <w:rFonts w:ascii="Arial" w:hAnsi="Arial"/>
                <w:sz w:val="24"/>
              </w:rPr>
              <w:t>0.242</w:t>
            </w:r>
          </w:p>
        </w:tc>
        <w:tc>
          <w:tcPr>
            <w:tcW w:type="dxa" w:w="1080"/>
          </w:tcPr>
          <w:p>
            <w:pPr>
              <w:jc w:val="center"/>
              <w:bidi w:val="1"/>
            </w:pPr>
            <w:r>
              <w:rPr>
                <w:rFonts w:ascii="Arial" w:hAnsi="Arial"/>
                <w:sz w:val="24"/>
              </w:rPr>
              <w:t>كبير</w:t>
            </w:r>
          </w:p>
        </w:tc>
      </w:tr>
      <w:tr>
        <w:tc>
          <w:tcPr>
            <w:tcW w:type="dxa" w:w="1080"/>
          </w:tcPr>
          <w:p>
            <w:pPr>
              <w:jc w:val="center"/>
              <w:bidi w:val="1"/>
            </w:pPr>
            <w:r>
              <w:rPr>
                <w:rFonts w:ascii="Arial" w:hAnsi="Arial"/>
                <w:sz w:val="24"/>
              </w:rPr>
              <w:t>الخطأ</w:t>
            </w:r>
          </w:p>
        </w:tc>
        <w:tc>
          <w:tcPr>
            <w:tcW w:type="dxa" w:w="1080"/>
          </w:tcPr>
          <w:p>
            <w:pPr>
              <w:jc w:val="center"/>
              <w:bidi w:val="1"/>
            </w:pPr>
            <w:r>
              <w:rPr>
                <w:rFonts w:ascii="Arial" w:hAnsi="Arial"/>
                <w:sz w:val="24"/>
              </w:rPr>
              <w:t>856.00</w:t>
            </w:r>
          </w:p>
        </w:tc>
        <w:tc>
          <w:tcPr>
            <w:tcW w:type="dxa" w:w="1080"/>
          </w:tcPr>
          <w:p>
            <w:pPr>
              <w:jc w:val="center"/>
              <w:bidi w:val="1"/>
            </w:pPr>
            <w:r>
              <w:rPr>
                <w:rFonts w:ascii="Arial" w:hAnsi="Arial"/>
                <w:sz w:val="24"/>
              </w:rPr>
              <w:t>76</w:t>
            </w:r>
          </w:p>
        </w:tc>
        <w:tc>
          <w:tcPr>
            <w:tcW w:type="dxa" w:w="1080"/>
          </w:tcPr>
          <w:p>
            <w:pPr>
              <w:jc w:val="center"/>
              <w:bidi w:val="1"/>
            </w:pPr>
            <w:r>
              <w:rPr>
                <w:rFonts w:ascii="Arial" w:hAnsi="Arial"/>
                <w:sz w:val="24"/>
              </w:rPr>
              <w:t>11.26</w:t>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r>
    </w:tbl>
    <w:p/>
    <w:p>
      <w:pPr>
        <w:jc w:val="right"/>
        <w:bidi w:val="1"/>
      </w:pPr>
      <w:r>
        <w:rPr>
          <w:rFonts w:ascii="Arial" w:hAnsi="Arial"/>
          <w:sz w:val="28"/>
        </w:rPr>
        <w:t>يتضح من الجدول أن قيمة (F = 24.31) عند درجات حرية (1، 76)، وهي دالة إحصائياً عند مستوى (0.05)؛ حيث بلغ مستوى الدلالة (0.000)، وبلغ حجم التأثير (η² = 0.242) وهو حجم تأثير كبير وفقاً لمعيار كوهين (Cohen, 1988). وهذا يشير إلى وجود فرق دال إحصائياً بين متوسطي درجات الطلاب في اختبار حل المشكلات يرجع للتأثير الرئيسي لنمط الحشد لصالح النمط التشاركي (م = 22.05) مقارنة بالنمط التنافسي (م = 18.35)؛ لذا يتم رفض الفرض الصفري الأول.</w:t>
      </w:r>
    </w:p>
    <w:p/>
    <w:p>
      <w:pPr>
        <w:jc w:val="right"/>
        <w:bidi w:val="1"/>
      </w:pPr>
      <w:r>
        <w:rPr>
          <w:rFonts w:ascii="Arial" w:hAnsi="Arial"/>
          <w:sz w:val="28"/>
        </w:rPr>
        <w:t>الفرض الثاني:</w:t>
      </w:r>
    </w:p>
    <w:p>
      <w:pPr>
        <w:jc w:val="right"/>
        <w:bidi w:val="1"/>
      </w:pPr>
      <w:r>
        <w:rPr>
          <w:rFonts w:ascii="Arial" w:hAnsi="Arial"/>
          <w:sz w:val="28"/>
        </w:rPr>
        <w:t>نص الفرض الثاني على: "لا يوجد فرق دال إحصائياً عند مستوى دلالة (≤ 0.05) بين متوسطات درجات طلاب المجموعات التجريبية في القياس البعدي لمقياس حل المشكلات يرجع للتأثير الرئيسي لزمن حشد المصادر (محدد/مفتوح)".</w:t>
      </w:r>
    </w:p>
    <w:p/>
    <w:p>
      <w:pPr>
        <w:jc w:val="center"/>
        <w:bidi w:val="1"/>
      </w:pPr>
      <w:r>
        <w:rPr>
          <w:rFonts w:ascii="Arial" w:hAnsi="Arial"/>
          <w:b/>
          <w:sz w:val="24"/>
        </w:rPr>
        <w:t>جدول (×): نتائج ANOVA للتأثير الرئيسي للزمن على حل المشكلات</w:t>
      </w:r>
    </w:p>
    <w:tbl>
      <w:tblPr>
        <w:tblStyle w:val="TableGrid"/>
        <w:tblW w:type="auto" w:w="0"/>
        <w:tblLook w:firstColumn="1" w:firstRow="1" w:lastColumn="0" w:lastRow="0" w:noHBand="0" w:noVBand="1" w:val="04A0"/>
        <w:bidiVisual w:val="1"/>
      </w:tblPr>
      <w:tblGrid>
        <w:gridCol w:w="1080"/>
        <w:gridCol w:w="1080"/>
        <w:gridCol w:w="1080"/>
        <w:gridCol w:w="1080"/>
        <w:gridCol w:w="1080"/>
        <w:gridCol w:w="1080"/>
        <w:gridCol w:w="1080"/>
        <w:gridCol w:w="1080"/>
      </w:tblGrid>
      <w:tr>
        <w:tc>
          <w:tcPr>
            <w:tcW w:type="dxa" w:w="1080"/>
          </w:tcPr>
          <w:p>
            <w:pPr>
              <w:jc w:val="center"/>
              <w:bidi w:val="1"/>
            </w:pPr>
            <w:r>
              <w:rPr>
                <w:rFonts w:ascii="Arial" w:hAnsi="Arial"/>
                <w:b/>
                <w:sz w:val="24"/>
              </w:rPr>
              <w:t>مصدر التباين</w:t>
            </w:r>
          </w:p>
        </w:tc>
        <w:tc>
          <w:tcPr>
            <w:tcW w:type="dxa" w:w="1080"/>
          </w:tcPr>
          <w:p>
            <w:pPr>
              <w:jc w:val="center"/>
              <w:bidi w:val="1"/>
            </w:pPr>
            <w:r>
              <w:rPr>
                <w:rFonts w:ascii="Arial" w:hAnsi="Arial"/>
                <w:b/>
                <w:sz w:val="24"/>
              </w:rPr>
              <w:t>SS</w:t>
            </w:r>
          </w:p>
        </w:tc>
        <w:tc>
          <w:tcPr>
            <w:tcW w:type="dxa" w:w="1080"/>
          </w:tcPr>
          <w:p>
            <w:pPr>
              <w:jc w:val="center"/>
              <w:bidi w:val="1"/>
            </w:pPr>
            <w:r>
              <w:rPr>
                <w:rFonts w:ascii="Arial" w:hAnsi="Arial"/>
                <w:b/>
                <w:sz w:val="24"/>
              </w:rPr>
              <w:t>df</w:t>
            </w:r>
          </w:p>
        </w:tc>
        <w:tc>
          <w:tcPr>
            <w:tcW w:type="dxa" w:w="1080"/>
          </w:tcPr>
          <w:p>
            <w:pPr>
              <w:jc w:val="center"/>
              <w:bidi w:val="1"/>
            </w:pPr>
            <w:r>
              <w:rPr>
                <w:rFonts w:ascii="Arial" w:hAnsi="Arial"/>
                <w:b/>
                <w:sz w:val="24"/>
              </w:rPr>
              <w:t>MS</w:t>
            </w:r>
          </w:p>
        </w:tc>
        <w:tc>
          <w:tcPr>
            <w:tcW w:type="dxa" w:w="1080"/>
          </w:tcPr>
          <w:p>
            <w:pPr>
              <w:jc w:val="center"/>
              <w:bidi w:val="1"/>
            </w:pPr>
            <w:r>
              <w:rPr>
                <w:rFonts w:ascii="Arial" w:hAnsi="Arial"/>
                <w:b/>
                <w:sz w:val="24"/>
              </w:rPr>
              <w:t>F</w:t>
            </w:r>
          </w:p>
        </w:tc>
        <w:tc>
          <w:tcPr>
            <w:tcW w:type="dxa" w:w="1080"/>
          </w:tcPr>
          <w:p>
            <w:pPr>
              <w:jc w:val="center"/>
              <w:bidi w:val="1"/>
            </w:pPr>
            <w:r>
              <w:rPr>
                <w:rFonts w:ascii="Arial" w:hAnsi="Arial"/>
                <w:b/>
                <w:sz w:val="24"/>
              </w:rPr>
              <w:t>Sig</w:t>
            </w:r>
          </w:p>
        </w:tc>
        <w:tc>
          <w:tcPr>
            <w:tcW w:type="dxa" w:w="1080"/>
          </w:tcPr>
          <w:p>
            <w:pPr>
              <w:jc w:val="center"/>
              <w:bidi w:val="1"/>
            </w:pPr>
            <w:r>
              <w:rPr>
                <w:rFonts w:ascii="Arial" w:hAnsi="Arial"/>
                <w:b/>
                <w:sz w:val="24"/>
              </w:rPr>
              <w:t>η²</w:t>
            </w:r>
          </w:p>
        </w:tc>
        <w:tc>
          <w:tcPr>
            <w:tcW w:type="dxa" w:w="1080"/>
          </w:tcPr>
          <w:p>
            <w:pPr>
              <w:jc w:val="center"/>
              <w:bidi w:val="1"/>
            </w:pPr>
            <w:r>
              <w:rPr>
                <w:rFonts w:ascii="Arial" w:hAnsi="Arial"/>
                <w:b/>
                <w:sz w:val="24"/>
              </w:rPr>
              <w:t>حجم التأثير</w:t>
            </w:r>
          </w:p>
        </w:tc>
      </w:tr>
      <w:tr>
        <w:tc>
          <w:tcPr>
            <w:tcW w:type="dxa" w:w="1080"/>
          </w:tcPr>
          <w:p>
            <w:pPr>
              <w:jc w:val="center"/>
              <w:bidi w:val="1"/>
            </w:pPr>
            <w:r>
              <w:rPr>
                <w:rFonts w:ascii="Arial" w:hAnsi="Arial"/>
                <w:sz w:val="24"/>
              </w:rPr>
              <w:t>الزمن</w:t>
            </w:r>
          </w:p>
        </w:tc>
        <w:tc>
          <w:tcPr>
            <w:tcW w:type="dxa" w:w="1080"/>
          </w:tcPr>
          <w:p>
            <w:pPr>
              <w:jc w:val="center"/>
              <w:bidi w:val="1"/>
            </w:pPr>
            <w:r>
              <w:rPr>
                <w:rFonts w:ascii="Arial" w:hAnsi="Arial"/>
                <w:sz w:val="24"/>
              </w:rPr>
              <w:t>0.80</w:t>
            </w:r>
          </w:p>
        </w:tc>
        <w:tc>
          <w:tcPr>
            <w:tcW w:type="dxa" w:w="1080"/>
          </w:tcPr>
          <w:p>
            <w:pPr>
              <w:jc w:val="center"/>
              <w:bidi w:val="1"/>
            </w:pPr>
            <w:r>
              <w:rPr>
                <w:rFonts w:ascii="Arial" w:hAnsi="Arial"/>
                <w:sz w:val="24"/>
              </w:rPr>
              <w:t>1</w:t>
            </w:r>
          </w:p>
        </w:tc>
        <w:tc>
          <w:tcPr>
            <w:tcW w:type="dxa" w:w="1080"/>
          </w:tcPr>
          <w:p>
            <w:pPr>
              <w:jc w:val="center"/>
              <w:bidi w:val="1"/>
            </w:pPr>
            <w:r>
              <w:rPr>
                <w:rFonts w:ascii="Arial" w:hAnsi="Arial"/>
                <w:sz w:val="24"/>
              </w:rPr>
              <w:t>0.80</w:t>
            </w:r>
          </w:p>
        </w:tc>
        <w:tc>
          <w:tcPr>
            <w:tcW w:type="dxa" w:w="1080"/>
          </w:tcPr>
          <w:p>
            <w:pPr>
              <w:jc w:val="center"/>
              <w:bidi w:val="1"/>
            </w:pPr>
            <w:r>
              <w:rPr>
                <w:rFonts w:ascii="Arial" w:hAnsi="Arial"/>
                <w:sz w:val="24"/>
              </w:rPr>
              <w:t>0.07</w:t>
            </w:r>
          </w:p>
        </w:tc>
        <w:tc>
          <w:tcPr>
            <w:tcW w:type="dxa" w:w="1080"/>
          </w:tcPr>
          <w:p>
            <w:pPr>
              <w:jc w:val="center"/>
              <w:bidi w:val="1"/>
            </w:pPr>
            <w:r>
              <w:rPr>
                <w:rFonts w:ascii="Arial" w:hAnsi="Arial"/>
                <w:sz w:val="24"/>
              </w:rPr>
              <w:t>0.791</w:t>
            </w:r>
          </w:p>
        </w:tc>
        <w:tc>
          <w:tcPr>
            <w:tcW w:type="dxa" w:w="1080"/>
          </w:tcPr>
          <w:p>
            <w:pPr>
              <w:jc w:val="center"/>
              <w:bidi w:val="1"/>
            </w:pPr>
            <w:r>
              <w:rPr>
                <w:rFonts w:ascii="Arial" w:hAnsi="Arial"/>
                <w:sz w:val="24"/>
              </w:rPr>
              <w:t>0.001</w:t>
            </w:r>
          </w:p>
        </w:tc>
        <w:tc>
          <w:tcPr>
            <w:tcW w:type="dxa" w:w="1080"/>
          </w:tcPr>
          <w:p>
            <w:pPr>
              <w:jc w:val="center"/>
              <w:bidi w:val="1"/>
            </w:pPr>
            <w:r>
              <w:rPr>
                <w:rFonts w:ascii="Arial" w:hAnsi="Arial"/>
                <w:sz w:val="24"/>
              </w:rPr>
              <w:t>ضعيف جداً</w:t>
            </w:r>
          </w:p>
        </w:tc>
      </w:tr>
      <w:tr>
        <w:tc>
          <w:tcPr>
            <w:tcW w:type="dxa" w:w="1080"/>
          </w:tcPr>
          <w:p>
            <w:pPr>
              <w:jc w:val="center"/>
              <w:bidi w:val="1"/>
            </w:pPr>
            <w:r>
              <w:rPr>
                <w:rFonts w:ascii="Arial" w:hAnsi="Arial"/>
                <w:sz w:val="24"/>
              </w:rPr>
              <w:t>الخطأ</w:t>
            </w:r>
          </w:p>
        </w:tc>
        <w:tc>
          <w:tcPr>
            <w:tcW w:type="dxa" w:w="1080"/>
          </w:tcPr>
          <w:p>
            <w:pPr>
              <w:jc w:val="center"/>
              <w:bidi w:val="1"/>
            </w:pPr>
            <w:r>
              <w:rPr>
                <w:rFonts w:ascii="Arial" w:hAnsi="Arial"/>
                <w:sz w:val="24"/>
              </w:rPr>
              <w:t>856.00</w:t>
            </w:r>
          </w:p>
        </w:tc>
        <w:tc>
          <w:tcPr>
            <w:tcW w:type="dxa" w:w="1080"/>
          </w:tcPr>
          <w:p>
            <w:pPr>
              <w:jc w:val="center"/>
              <w:bidi w:val="1"/>
            </w:pPr>
            <w:r>
              <w:rPr>
                <w:rFonts w:ascii="Arial" w:hAnsi="Arial"/>
                <w:sz w:val="24"/>
              </w:rPr>
              <w:t>76</w:t>
            </w:r>
          </w:p>
        </w:tc>
        <w:tc>
          <w:tcPr>
            <w:tcW w:type="dxa" w:w="1080"/>
          </w:tcPr>
          <w:p>
            <w:pPr>
              <w:jc w:val="center"/>
              <w:bidi w:val="1"/>
            </w:pPr>
            <w:r>
              <w:rPr>
                <w:rFonts w:ascii="Arial" w:hAnsi="Arial"/>
                <w:sz w:val="24"/>
              </w:rPr>
              <w:t>11.26</w:t>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r>
    </w:tbl>
    <w:p/>
    <w:p>
      <w:pPr>
        <w:jc w:val="right"/>
        <w:bidi w:val="1"/>
      </w:pPr>
      <w:r>
        <w:rPr>
          <w:rFonts w:ascii="Arial" w:hAnsi="Arial"/>
          <w:sz w:val="28"/>
        </w:rPr>
        <w:t>يتضح من الجدول أن قيمة (F = 0.07) وهي غير دالة إحصائياً عند مستوى (0.05)؛ حيث بلغ مستوى الدلالة (0.791)، وبلغ حجم التأثير (η² = 0.001) وهو ضعيف جداً. وهذا يعني عدم وجود فرق دال إحصائياً بين الزمن المحدد (م = 20.30) والزمن المفتوح (م = 20.10) في حل المشكلات؛ لذا يتم قبول الفرض الصفري الثاني.</w:t>
      </w:r>
    </w:p>
    <w:p/>
    <w:p>
      <w:pPr>
        <w:jc w:val="right"/>
        <w:bidi w:val="1"/>
      </w:pPr>
      <w:r>
        <w:rPr>
          <w:rFonts w:ascii="Arial" w:hAnsi="Arial"/>
          <w:sz w:val="28"/>
        </w:rPr>
        <w:t>الفرض الثالث:</w:t>
      </w:r>
    </w:p>
    <w:p>
      <w:pPr>
        <w:jc w:val="right"/>
        <w:bidi w:val="1"/>
      </w:pPr>
      <w:r>
        <w:rPr>
          <w:rFonts w:ascii="Arial" w:hAnsi="Arial"/>
          <w:sz w:val="28"/>
        </w:rPr>
        <w:t>نص الفرض الثالث على: "لا يوجد تأثير دال إحصائياً عند مستوى دلالة (≤ 0.05) للتفاعل بين نمط حشد المصادر (تنافسي/تشاركي) وزمنه (محدد/مفتوح) على درجات الطلاب في القياس البعدي لمقياس حل المشكلات".</w:t>
      </w:r>
    </w:p>
    <w:p/>
    <w:p>
      <w:pPr>
        <w:jc w:val="center"/>
        <w:bidi w:val="1"/>
      </w:pPr>
      <w:r>
        <w:rPr>
          <w:rFonts w:ascii="Arial" w:hAnsi="Arial"/>
          <w:b/>
          <w:sz w:val="24"/>
        </w:rPr>
        <w:t>جدول (×): جدول Two-way ANOVA الكامل لاختبار حل المشكلات الأخلاقية البيوطبية</w:t>
      </w:r>
    </w:p>
    <w:tbl>
      <w:tblPr>
        <w:tblStyle w:val="TableGrid"/>
        <w:tblW w:type="auto" w:w="0"/>
        <w:tblLook w:firstColumn="1" w:firstRow="1" w:lastColumn="0" w:lastRow="0" w:noHBand="0" w:noVBand="1" w:val="04A0"/>
        <w:bidiVisual w:val="1"/>
      </w:tblPr>
      <w:tblGrid>
        <w:gridCol w:w="1080"/>
        <w:gridCol w:w="1080"/>
        <w:gridCol w:w="1080"/>
        <w:gridCol w:w="1080"/>
        <w:gridCol w:w="1080"/>
        <w:gridCol w:w="1080"/>
        <w:gridCol w:w="1080"/>
        <w:gridCol w:w="1080"/>
      </w:tblGrid>
      <w:tr>
        <w:tc>
          <w:tcPr>
            <w:tcW w:type="dxa" w:w="1080"/>
          </w:tcPr>
          <w:p>
            <w:pPr>
              <w:jc w:val="center"/>
              <w:bidi w:val="1"/>
            </w:pPr>
            <w:r>
              <w:rPr>
                <w:rFonts w:ascii="Arial" w:hAnsi="Arial"/>
                <w:b/>
                <w:sz w:val="24"/>
              </w:rPr>
              <w:t>مصدر التباين</w:t>
            </w:r>
          </w:p>
        </w:tc>
        <w:tc>
          <w:tcPr>
            <w:tcW w:type="dxa" w:w="1080"/>
          </w:tcPr>
          <w:p>
            <w:pPr>
              <w:jc w:val="center"/>
              <w:bidi w:val="1"/>
            </w:pPr>
            <w:r>
              <w:rPr>
                <w:rFonts w:ascii="Arial" w:hAnsi="Arial"/>
                <w:b/>
                <w:sz w:val="24"/>
              </w:rPr>
              <w:t>SS</w:t>
            </w:r>
          </w:p>
        </w:tc>
        <w:tc>
          <w:tcPr>
            <w:tcW w:type="dxa" w:w="1080"/>
          </w:tcPr>
          <w:p>
            <w:pPr>
              <w:jc w:val="center"/>
              <w:bidi w:val="1"/>
            </w:pPr>
            <w:r>
              <w:rPr>
                <w:rFonts w:ascii="Arial" w:hAnsi="Arial"/>
                <w:b/>
                <w:sz w:val="24"/>
              </w:rPr>
              <w:t>df</w:t>
            </w:r>
          </w:p>
        </w:tc>
        <w:tc>
          <w:tcPr>
            <w:tcW w:type="dxa" w:w="1080"/>
          </w:tcPr>
          <w:p>
            <w:pPr>
              <w:jc w:val="center"/>
              <w:bidi w:val="1"/>
            </w:pPr>
            <w:r>
              <w:rPr>
                <w:rFonts w:ascii="Arial" w:hAnsi="Arial"/>
                <w:b/>
                <w:sz w:val="24"/>
              </w:rPr>
              <w:t>MS</w:t>
            </w:r>
          </w:p>
        </w:tc>
        <w:tc>
          <w:tcPr>
            <w:tcW w:type="dxa" w:w="1080"/>
          </w:tcPr>
          <w:p>
            <w:pPr>
              <w:jc w:val="center"/>
              <w:bidi w:val="1"/>
            </w:pPr>
            <w:r>
              <w:rPr>
                <w:rFonts w:ascii="Arial" w:hAnsi="Arial"/>
                <w:b/>
                <w:sz w:val="24"/>
              </w:rPr>
              <w:t>F</w:t>
            </w:r>
          </w:p>
        </w:tc>
        <w:tc>
          <w:tcPr>
            <w:tcW w:type="dxa" w:w="1080"/>
          </w:tcPr>
          <w:p>
            <w:pPr>
              <w:jc w:val="center"/>
              <w:bidi w:val="1"/>
            </w:pPr>
            <w:r>
              <w:rPr>
                <w:rFonts w:ascii="Arial" w:hAnsi="Arial"/>
                <w:b/>
                <w:sz w:val="24"/>
              </w:rPr>
              <w:t>Sig</w:t>
            </w:r>
          </w:p>
        </w:tc>
        <w:tc>
          <w:tcPr>
            <w:tcW w:type="dxa" w:w="1080"/>
          </w:tcPr>
          <w:p>
            <w:pPr>
              <w:jc w:val="center"/>
              <w:bidi w:val="1"/>
            </w:pPr>
            <w:r>
              <w:rPr>
                <w:rFonts w:ascii="Arial" w:hAnsi="Arial"/>
                <w:b/>
                <w:sz w:val="24"/>
              </w:rPr>
              <w:t>η²</w:t>
            </w:r>
          </w:p>
        </w:tc>
        <w:tc>
          <w:tcPr>
            <w:tcW w:type="dxa" w:w="1080"/>
          </w:tcPr>
          <w:p>
            <w:pPr>
              <w:jc w:val="center"/>
              <w:bidi w:val="1"/>
            </w:pPr>
            <w:r>
              <w:rPr>
                <w:rFonts w:ascii="Arial" w:hAnsi="Arial"/>
                <w:b/>
                <w:sz w:val="24"/>
              </w:rPr>
              <w:t>حجم التأثير</w:t>
            </w:r>
          </w:p>
        </w:tc>
      </w:tr>
      <w:tr>
        <w:tc>
          <w:tcPr>
            <w:tcW w:type="dxa" w:w="1080"/>
          </w:tcPr>
          <w:p>
            <w:pPr>
              <w:jc w:val="center"/>
              <w:bidi w:val="1"/>
            </w:pPr>
            <w:r>
              <w:rPr>
                <w:rFonts w:ascii="Arial" w:hAnsi="Arial"/>
                <w:sz w:val="24"/>
              </w:rPr>
              <w:t>نمط الحشد</w:t>
            </w:r>
          </w:p>
        </w:tc>
        <w:tc>
          <w:tcPr>
            <w:tcW w:type="dxa" w:w="1080"/>
          </w:tcPr>
          <w:p>
            <w:pPr>
              <w:jc w:val="center"/>
              <w:bidi w:val="1"/>
            </w:pPr>
            <w:r>
              <w:rPr>
                <w:rFonts w:ascii="Arial" w:hAnsi="Arial"/>
                <w:sz w:val="24"/>
              </w:rPr>
              <w:t>273.80</w:t>
            </w:r>
          </w:p>
        </w:tc>
        <w:tc>
          <w:tcPr>
            <w:tcW w:type="dxa" w:w="1080"/>
          </w:tcPr>
          <w:p>
            <w:pPr>
              <w:jc w:val="center"/>
              <w:bidi w:val="1"/>
            </w:pPr>
            <w:r>
              <w:rPr>
                <w:rFonts w:ascii="Arial" w:hAnsi="Arial"/>
                <w:sz w:val="24"/>
              </w:rPr>
              <w:t>1</w:t>
            </w:r>
          </w:p>
        </w:tc>
        <w:tc>
          <w:tcPr>
            <w:tcW w:type="dxa" w:w="1080"/>
          </w:tcPr>
          <w:p>
            <w:pPr>
              <w:jc w:val="center"/>
              <w:bidi w:val="1"/>
            </w:pPr>
            <w:r>
              <w:rPr>
                <w:rFonts w:ascii="Arial" w:hAnsi="Arial"/>
                <w:sz w:val="24"/>
              </w:rPr>
              <w:t>273.80</w:t>
            </w:r>
          </w:p>
        </w:tc>
        <w:tc>
          <w:tcPr>
            <w:tcW w:type="dxa" w:w="1080"/>
          </w:tcPr>
          <w:p>
            <w:pPr>
              <w:jc w:val="center"/>
              <w:bidi w:val="1"/>
            </w:pPr>
            <w:r>
              <w:rPr>
                <w:rFonts w:ascii="Arial" w:hAnsi="Arial"/>
                <w:sz w:val="24"/>
              </w:rPr>
              <w:t>24.31</w:t>
            </w:r>
          </w:p>
        </w:tc>
        <w:tc>
          <w:tcPr>
            <w:tcW w:type="dxa" w:w="1080"/>
          </w:tcPr>
          <w:p>
            <w:pPr>
              <w:jc w:val="center"/>
              <w:bidi w:val="1"/>
            </w:pPr>
            <w:r>
              <w:rPr>
                <w:rFonts w:ascii="Arial" w:hAnsi="Arial"/>
                <w:sz w:val="24"/>
              </w:rPr>
              <w:t>0.000</w:t>
            </w:r>
          </w:p>
        </w:tc>
        <w:tc>
          <w:tcPr>
            <w:tcW w:type="dxa" w:w="1080"/>
          </w:tcPr>
          <w:p>
            <w:pPr>
              <w:jc w:val="center"/>
              <w:bidi w:val="1"/>
            </w:pPr>
            <w:r>
              <w:rPr>
                <w:rFonts w:ascii="Arial" w:hAnsi="Arial"/>
                <w:sz w:val="24"/>
              </w:rPr>
              <w:t>0.242</w:t>
            </w:r>
          </w:p>
        </w:tc>
        <w:tc>
          <w:tcPr>
            <w:tcW w:type="dxa" w:w="1080"/>
          </w:tcPr>
          <w:p>
            <w:pPr>
              <w:jc w:val="center"/>
              <w:bidi w:val="1"/>
            </w:pPr>
            <w:r>
              <w:rPr>
                <w:rFonts w:ascii="Arial" w:hAnsi="Arial"/>
                <w:sz w:val="24"/>
              </w:rPr>
              <w:t>كبير</w:t>
            </w:r>
          </w:p>
        </w:tc>
      </w:tr>
      <w:tr>
        <w:tc>
          <w:tcPr>
            <w:tcW w:type="dxa" w:w="1080"/>
          </w:tcPr>
          <w:p>
            <w:pPr>
              <w:jc w:val="center"/>
              <w:bidi w:val="1"/>
            </w:pPr>
            <w:r>
              <w:rPr>
                <w:rFonts w:ascii="Arial" w:hAnsi="Arial"/>
                <w:sz w:val="24"/>
              </w:rPr>
              <w:t>الزمن</w:t>
            </w:r>
          </w:p>
        </w:tc>
        <w:tc>
          <w:tcPr>
            <w:tcW w:type="dxa" w:w="1080"/>
          </w:tcPr>
          <w:p>
            <w:pPr>
              <w:jc w:val="center"/>
              <w:bidi w:val="1"/>
            </w:pPr>
            <w:r>
              <w:rPr>
                <w:rFonts w:ascii="Arial" w:hAnsi="Arial"/>
                <w:sz w:val="24"/>
              </w:rPr>
              <w:t>0.80</w:t>
            </w:r>
          </w:p>
        </w:tc>
        <w:tc>
          <w:tcPr>
            <w:tcW w:type="dxa" w:w="1080"/>
          </w:tcPr>
          <w:p>
            <w:pPr>
              <w:jc w:val="center"/>
              <w:bidi w:val="1"/>
            </w:pPr>
            <w:r>
              <w:rPr>
                <w:rFonts w:ascii="Arial" w:hAnsi="Arial"/>
                <w:sz w:val="24"/>
              </w:rPr>
              <w:t>1</w:t>
            </w:r>
          </w:p>
        </w:tc>
        <w:tc>
          <w:tcPr>
            <w:tcW w:type="dxa" w:w="1080"/>
          </w:tcPr>
          <w:p>
            <w:pPr>
              <w:jc w:val="center"/>
              <w:bidi w:val="1"/>
            </w:pPr>
            <w:r>
              <w:rPr>
                <w:rFonts w:ascii="Arial" w:hAnsi="Arial"/>
                <w:sz w:val="24"/>
              </w:rPr>
              <w:t>0.80</w:t>
            </w:r>
          </w:p>
        </w:tc>
        <w:tc>
          <w:tcPr>
            <w:tcW w:type="dxa" w:w="1080"/>
          </w:tcPr>
          <w:p>
            <w:pPr>
              <w:jc w:val="center"/>
              <w:bidi w:val="1"/>
            </w:pPr>
            <w:r>
              <w:rPr>
                <w:rFonts w:ascii="Arial" w:hAnsi="Arial"/>
                <w:sz w:val="24"/>
              </w:rPr>
              <w:t>0.07</w:t>
            </w:r>
          </w:p>
        </w:tc>
        <w:tc>
          <w:tcPr>
            <w:tcW w:type="dxa" w:w="1080"/>
          </w:tcPr>
          <w:p>
            <w:pPr>
              <w:jc w:val="center"/>
              <w:bidi w:val="1"/>
            </w:pPr>
            <w:r>
              <w:rPr>
                <w:rFonts w:ascii="Arial" w:hAnsi="Arial"/>
                <w:sz w:val="24"/>
              </w:rPr>
              <w:t>0.791</w:t>
            </w:r>
          </w:p>
        </w:tc>
        <w:tc>
          <w:tcPr>
            <w:tcW w:type="dxa" w:w="1080"/>
          </w:tcPr>
          <w:p>
            <w:pPr>
              <w:jc w:val="center"/>
              <w:bidi w:val="1"/>
            </w:pPr>
            <w:r>
              <w:rPr>
                <w:rFonts w:ascii="Arial" w:hAnsi="Arial"/>
                <w:sz w:val="24"/>
              </w:rPr>
              <w:t>0.001</w:t>
            </w:r>
          </w:p>
        </w:tc>
        <w:tc>
          <w:tcPr>
            <w:tcW w:type="dxa" w:w="1080"/>
          </w:tcPr>
          <w:p>
            <w:pPr>
              <w:jc w:val="center"/>
              <w:bidi w:val="1"/>
            </w:pPr>
            <w:r>
              <w:rPr>
                <w:rFonts w:ascii="Arial" w:hAnsi="Arial"/>
                <w:sz w:val="24"/>
              </w:rPr>
              <w:t>ضعيف جداً</w:t>
            </w:r>
          </w:p>
        </w:tc>
      </w:tr>
      <w:tr>
        <w:tc>
          <w:tcPr>
            <w:tcW w:type="dxa" w:w="1080"/>
          </w:tcPr>
          <w:p>
            <w:pPr>
              <w:jc w:val="center"/>
              <w:bidi w:val="1"/>
            </w:pPr>
            <w:r>
              <w:rPr>
                <w:rFonts w:ascii="Arial" w:hAnsi="Arial"/>
                <w:sz w:val="24"/>
              </w:rPr>
              <w:t>نمط الحشد × الزمن</w:t>
            </w:r>
          </w:p>
        </w:tc>
        <w:tc>
          <w:tcPr>
            <w:tcW w:type="dxa" w:w="1080"/>
          </w:tcPr>
          <w:p>
            <w:pPr>
              <w:jc w:val="center"/>
              <w:bidi w:val="1"/>
            </w:pPr>
            <w:r>
              <w:rPr>
                <w:rFonts w:ascii="Arial" w:hAnsi="Arial"/>
                <w:sz w:val="24"/>
              </w:rPr>
              <w:t>0.20</w:t>
            </w:r>
          </w:p>
        </w:tc>
        <w:tc>
          <w:tcPr>
            <w:tcW w:type="dxa" w:w="1080"/>
          </w:tcPr>
          <w:p>
            <w:pPr>
              <w:jc w:val="center"/>
              <w:bidi w:val="1"/>
            </w:pPr>
            <w:r>
              <w:rPr>
                <w:rFonts w:ascii="Arial" w:hAnsi="Arial"/>
                <w:sz w:val="24"/>
              </w:rPr>
              <w:t>1</w:t>
            </w:r>
          </w:p>
        </w:tc>
        <w:tc>
          <w:tcPr>
            <w:tcW w:type="dxa" w:w="1080"/>
          </w:tcPr>
          <w:p>
            <w:pPr>
              <w:jc w:val="center"/>
              <w:bidi w:val="1"/>
            </w:pPr>
            <w:r>
              <w:rPr>
                <w:rFonts w:ascii="Arial" w:hAnsi="Arial"/>
                <w:sz w:val="24"/>
              </w:rPr>
              <w:t>0.20</w:t>
            </w:r>
          </w:p>
        </w:tc>
        <w:tc>
          <w:tcPr>
            <w:tcW w:type="dxa" w:w="1080"/>
          </w:tcPr>
          <w:p>
            <w:pPr>
              <w:jc w:val="center"/>
              <w:bidi w:val="1"/>
            </w:pPr>
            <w:r>
              <w:rPr>
                <w:rFonts w:ascii="Arial" w:hAnsi="Arial"/>
                <w:sz w:val="24"/>
              </w:rPr>
              <w:t>0.02</w:t>
            </w:r>
          </w:p>
        </w:tc>
        <w:tc>
          <w:tcPr>
            <w:tcW w:type="dxa" w:w="1080"/>
          </w:tcPr>
          <w:p>
            <w:pPr>
              <w:jc w:val="center"/>
              <w:bidi w:val="1"/>
            </w:pPr>
            <w:r>
              <w:rPr>
                <w:rFonts w:ascii="Arial" w:hAnsi="Arial"/>
                <w:sz w:val="24"/>
              </w:rPr>
              <w:t>0.894</w:t>
            </w:r>
          </w:p>
        </w:tc>
        <w:tc>
          <w:tcPr>
            <w:tcW w:type="dxa" w:w="1080"/>
          </w:tcPr>
          <w:p>
            <w:pPr>
              <w:jc w:val="center"/>
              <w:bidi w:val="1"/>
            </w:pPr>
            <w:r>
              <w:rPr>
                <w:rFonts w:ascii="Arial" w:hAnsi="Arial"/>
                <w:sz w:val="24"/>
              </w:rPr>
              <w:t>0.000</w:t>
            </w:r>
          </w:p>
        </w:tc>
        <w:tc>
          <w:tcPr>
            <w:tcW w:type="dxa" w:w="1080"/>
          </w:tcPr>
          <w:p>
            <w:pPr>
              <w:jc w:val="center"/>
              <w:bidi w:val="1"/>
            </w:pPr>
            <w:r>
              <w:rPr>
                <w:rFonts w:ascii="Arial" w:hAnsi="Arial"/>
                <w:sz w:val="24"/>
              </w:rPr>
              <w:t>ضعيف جداً</w:t>
            </w:r>
          </w:p>
        </w:tc>
      </w:tr>
      <w:tr>
        <w:tc>
          <w:tcPr>
            <w:tcW w:type="dxa" w:w="1080"/>
          </w:tcPr>
          <w:p>
            <w:pPr>
              <w:jc w:val="center"/>
              <w:bidi w:val="1"/>
            </w:pPr>
            <w:r>
              <w:rPr>
                <w:rFonts w:ascii="Arial" w:hAnsi="Arial"/>
                <w:sz w:val="24"/>
              </w:rPr>
              <w:t>الخطأ</w:t>
            </w:r>
          </w:p>
        </w:tc>
        <w:tc>
          <w:tcPr>
            <w:tcW w:type="dxa" w:w="1080"/>
          </w:tcPr>
          <w:p>
            <w:pPr>
              <w:jc w:val="center"/>
              <w:bidi w:val="1"/>
            </w:pPr>
            <w:r>
              <w:rPr>
                <w:rFonts w:ascii="Arial" w:hAnsi="Arial"/>
                <w:sz w:val="24"/>
              </w:rPr>
              <w:t>856.00</w:t>
            </w:r>
          </w:p>
        </w:tc>
        <w:tc>
          <w:tcPr>
            <w:tcW w:type="dxa" w:w="1080"/>
          </w:tcPr>
          <w:p>
            <w:pPr>
              <w:jc w:val="center"/>
              <w:bidi w:val="1"/>
            </w:pPr>
            <w:r>
              <w:rPr>
                <w:rFonts w:ascii="Arial" w:hAnsi="Arial"/>
                <w:sz w:val="24"/>
              </w:rPr>
              <w:t>76</w:t>
            </w:r>
          </w:p>
        </w:tc>
        <w:tc>
          <w:tcPr>
            <w:tcW w:type="dxa" w:w="1080"/>
          </w:tcPr>
          <w:p>
            <w:pPr>
              <w:jc w:val="center"/>
              <w:bidi w:val="1"/>
            </w:pPr>
            <w:r>
              <w:rPr>
                <w:rFonts w:ascii="Arial" w:hAnsi="Arial"/>
                <w:sz w:val="24"/>
              </w:rPr>
              <w:t>11.26</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r>
      <w:tr>
        <w:tc>
          <w:tcPr>
            <w:tcW w:type="dxa" w:w="1080"/>
          </w:tcPr>
          <w:p>
            <w:pPr>
              <w:jc w:val="center"/>
              <w:bidi w:val="1"/>
            </w:pPr>
            <w:r>
              <w:rPr>
                <w:rFonts w:ascii="Arial" w:hAnsi="Arial"/>
                <w:sz w:val="24"/>
              </w:rPr>
              <w:t>الكلي المُصحح</w:t>
            </w:r>
          </w:p>
        </w:tc>
        <w:tc>
          <w:tcPr>
            <w:tcW w:type="dxa" w:w="1080"/>
          </w:tcPr>
          <w:p>
            <w:pPr>
              <w:jc w:val="center"/>
              <w:bidi w:val="1"/>
            </w:pPr>
            <w:r>
              <w:rPr>
                <w:rFonts w:ascii="Arial" w:hAnsi="Arial"/>
                <w:sz w:val="24"/>
              </w:rPr>
              <w:t>1130.80</w:t>
            </w:r>
          </w:p>
        </w:tc>
        <w:tc>
          <w:tcPr>
            <w:tcW w:type="dxa" w:w="1080"/>
          </w:tcPr>
          <w:p>
            <w:pPr>
              <w:jc w:val="center"/>
              <w:bidi w:val="1"/>
            </w:pPr>
            <w:r>
              <w:rPr>
                <w:rFonts w:ascii="Arial" w:hAnsi="Arial"/>
                <w:sz w:val="24"/>
              </w:rPr>
              <w:t>79</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r>
    </w:tbl>
    <w:p/>
    <w:p>
      <w:pPr>
        <w:jc w:val="right"/>
        <w:bidi w:val="1"/>
      </w:pPr>
      <w:r>
        <w:rPr>
          <w:rFonts w:ascii="Arial" w:hAnsi="Arial"/>
          <w:sz w:val="28"/>
        </w:rPr>
        <w:t>يتضح من الجدول أن قيمة (F) للتفاعل بلغت (0.02) بمستوى دلالة (0.894)، وهي غير دالة إحصائياً، وبلغ حجم التأثير (η² ≈ 0.000). وهذا يشير إلى عدم وجود تأثير دال إحصائياً للتفاعل بين نمط حشد المصادر وزمنه على درجات الطلاب في اختبار حل المشكلات؛ لذا يتم قبول الفرض الصفري الثالث.</w:t>
      </w:r>
    </w:p>
    <w:p/>
    <w:p>
      <w:pPr>
        <w:jc w:val="right"/>
        <w:bidi w:val="1"/>
      </w:pPr>
      <w:r>
        <w:rPr>
          <w:rFonts w:ascii="Arial" w:hAnsi="Arial"/>
          <w:sz w:val="28"/>
        </w:rPr>
        <w:t>الفرض الرابع:</w:t>
      </w:r>
    </w:p>
    <w:p>
      <w:pPr>
        <w:jc w:val="right"/>
        <w:bidi w:val="1"/>
      </w:pPr>
      <w:r>
        <w:rPr>
          <w:rFonts w:ascii="Arial" w:hAnsi="Arial"/>
          <w:sz w:val="28"/>
        </w:rPr>
        <w:t>نص الفرض الرابع على: "لا يوجد فرق دال إحصائياً عند مستوى دلالة (≤ 0.05) بين متوسطات درجات طلاب المجموعات التجريبية في القياس البعدي لمقياس التدفق الذهني يرجع للتأثير الرئيسي لنمط حشد المصادر (تنافسي/تشاركي)".</w:t>
      </w:r>
    </w:p>
    <w:p/>
    <w:p>
      <w:pPr>
        <w:jc w:val="center"/>
        <w:bidi w:val="1"/>
      </w:pPr>
      <w:r>
        <w:rPr>
          <w:rFonts w:ascii="Arial" w:hAnsi="Arial"/>
          <w:b/>
          <w:sz w:val="24"/>
        </w:rPr>
        <w:t>جدول (×): نتائج ANOVA للتأثير الرئيسي لنمط الحشد على التدفق الذهني</w:t>
      </w:r>
    </w:p>
    <w:tbl>
      <w:tblPr>
        <w:tblStyle w:val="TableGrid"/>
        <w:tblW w:type="auto" w:w="0"/>
        <w:tblLook w:firstColumn="1" w:firstRow="1" w:lastColumn="0" w:lastRow="0" w:noHBand="0" w:noVBand="1" w:val="04A0"/>
        <w:bidiVisual w:val="1"/>
      </w:tblPr>
      <w:tblGrid>
        <w:gridCol w:w="1080"/>
        <w:gridCol w:w="1080"/>
        <w:gridCol w:w="1080"/>
        <w:gridCol w:w="1080"/>
        <w:gridCol w:w="1080"/>
        <w:gridCol w:w="1080"/>
        <w:gridCol w:w="1080"/>
        <w:gridCol w:w="1080"/>
      </w:tblGrid>
      <w:tr>
        <w:tc>
          <w:tcPr>
            <w:tcW w:type="dxa" w:w="1080"/>
          </w:tcPr>
          <w:p>
            <w:pPr>
              <w:jc w:val="center"/>
              <w:bidi w:val="1"/>
            </w:pPr>
            <w:r>
              <w:rPr>
                <w:rFonts w:ascii="Arial" w:hAnsi="Arial"/>
                <w:b/>
                <w:sz w:val="24"/>
              </w:rPr>
              <w:t>مصدر التباين</w:t>
            </w:r>
          </w:p>
        </w:tc>
        <w:tc>
          <w:tcPr>
            <w:tcW w:type="dxa" w:w="1080"/>
          </w:tcPr>
          <w:p>
            <w:pPr>
              <w:jc w:val="center"/>
              <w:bidi w:val="1"/>
            </w:pPr>
            <w:r>
              <w:rPr>
                <w:rFonts w:ascii="Arial" w:hAnsi="Arial"/>
                <w:b/>
                <w:sz w:val="24"/>
              </w:rPr>
              <w:t>SS</w:t>
            </w:r>
          </w:p>
        </w:tc>
        <w:tc>
          <w:tcPr>
            <w:tcW w:type="dxa" w:w="1080"/>
          </w:tcPr>
          <w:p>
            <w:pPr>
              <w:jc w:val="center"/>
              <w:bidi w:val="1"/>
            </w:pPr>
            <w:r>
              <w:rPr>
                <w:rFonts w:ascii="Arial" w:hAnsi="Arial"/>
                <w:b/>
                <w:sz w:val="24"/>
              </w:rPr>
              <w:t>df</w:t>
            </w:r>
          </w:p>
        </w:tc>
        <w:tc>
          <w:tcPr>
            <w:tcW w:type="dxa" w:w="1080"/>
          </w:tcPr>
          <w:p>
            <w:pPr>
              <w:jc w:val="center"/>
              <w:bidi w:val="1"/>
            </w:pPr>
            <w:r>
              <w:rPr>
                <w:rFonts w:ascii="Arial" w:hAnsi="Arial"/>
                <w:b/>
                <w:sz w:val="24"/>
              </w:rPr>
              <w:t>MS</w:t>
            </w:r>
          </w:p>
        </w:tc>
        <w:tc>
          <w:tcPr>
            <w:tcW w:type="dxa" w:w="1080"/>
          </w:tcPr>
          <w:p>
            <w:pPr>
              <w:jc w:val="center"/>
              <w:bidi w:val="1"/>
            </w:pPr>
            <w:r>
              <w:rPr>
                <w:rFonts w:ascii="Arial" w:hAnsi="Arial"/>
                <w:b/>
                <w:sz w:val="24"/>
              </w:rPr>
              <w:t>F</w:t>
            </w:r>
          </w:p>
        </w:tc>
        <w:tc>
          <w:tcPr>
            <w:tcW w:type="dxa" w:w="1080"/>
          </w:tcPr>
          <w:p>
            <w:pPr>
              <w:jc w:val="center"/>
              <w:bidi w:val="1"/>
            </w:pPr>
            <w:r>
              <w:rPr>
                <w:rFonts w:ascii="Arial" w:hAnsi="Arial"/>
                <w:b/>
                <w:sz w:val="24"/>
              </w:rPr>
              <w:t>Sig</w:t>
            </w:r>
          </w:p>
        </w:tc>
        <w:tc>
          <w:tcPr>
            <w:tcW w:type="dxa" w:w="1080"/>
          </w:tcPr>
          <w:p>
            <w:pPr>
              <w:jc w:val="center"/>
              <w:bidi w:val="1"/>
            </w:pPr>
            <w:r>
              <w:rPr>
                <w:rFonts w:ascii="Arial" w:hAnsi="Arial"/>
                <w:b/>
                <w:sz w:val="24"/>
              </w:rPr>
              <w:t>η²</w:t>
            </w:r>
          </w:p>
        </w:tc>
        <w:tc>
          <w:tcPr>
            <w:tcW w:type="dxa" w:w="1080"/>
          </w:tcPr>
          <w:p>
            <w:pPr>
              <w:jc w:val="center"/>
              <w:bidi w:val="1"/>
            </w:pPr>
            <w:r>
              <w:rPr>
                <w:rFonts w:ascii="Arial" w:hAnsi="Arial"/>
                <w:b/>
                <w:sz w:val="24"/>
              </w:rPr>
              <w:t>حجم التأثير</w:t>
            </w:r>
          </w:p>
        </w:tc>
      </w:tr>
      <w:tr>
        <w:tc>
          <w:tcPr>
            <w:tcW w:type="dxa" w:w="1080"/>
          </w:tcPr>
          <w:p>
            <w:pPr>
              <w:jc w:val="center"/>
              <w:bidi w:val="1"/>
            </w:pPr>
            <w:r>
              <w:rPr>
                <w:rFonts w:ascii="Arial" w:hAnsi="Arial"/>
                <w:sz w:val="24"/>
              </w:rPr>
              <w:t>نمط الحشد</w:t>
            </w:r>
          </w:p>
        </w:tc>
        <w:tc>
          <w:tcPr>
            <w:tcW w:type="dxa" w:w="1080"/>
          </w:tcPr>
          <w:p>
            <w:pPr>
              <w:jc w:val="center"/>
              <w:bidi w:val="1"/>
            </w:pPr>
            <w:r>
              <w:rPr>
                <w:rFonts w:ascii="Arial" w:hAnsi="Arial"/>
                <w:sz w:val="24"/>
              </w:rPr>
              <w:t>3100.05</w:t>
            </w:r>
          </w:p>
        </w:tc>
        <w:tc>
          <w:tcPr>
            <w:tcW w:type="dxa" w:w="1080"/>
          </w:tcPr>
          <w:p>
            <w:pPr>
              <w:jc w:val="center"/>
              <w:bidi w:val="1"/>
            </w:pPr>
            <w:r>
              <w:rPr>
                <w:rFonts w:ascii="Arial" w:hAnsi="Arial"/>
                <w:sz w:val="24"/>
              </w:rPr>
              <w:t>1</w:t>
            </w:r>
          </w:p>
        </w:tc>
        <w:tc>
          <w:tcPr>
            <w:tcW w:type="dxa" w:w="1080"/>
          </w:tcPr>
          <w:p>
            <w:pPr>
              <w:jc w:val="center"/>
              <w:bidi w:val="1"/>
            </w:pPr>
            <w:r>
              <w:rPr>
                <w:rFonts w:ascii="Arial" w:hAnsi="Arial"/>
                <w:sz w:val="24"/>
              </w:rPr>
              <w:t>3100.05</w:t>
            </w:r>
          </w:p>
        </w:tc>
        <w:tc>
          <w:tcPr>
            <w:tcW w:type="dxa" w:w="1080"/>
          </w:tcPr>
          <w:p>
            <w:pPr>
              <w:jc w:val="center"/>
              <w:bidi w:val="1"/>
            </w:pPr>
            <w:r>
              <w:rPr>
                <w:rFonts w:ascii="Arial" w:hAnsi="Arial"/>
                <w:sz w:val="24"/>
              </w:rPr>
              <w:t>5.30</w:t>
            </w:r>
          </w:p>
        </w:tc>
        <w:tc>
          <w:tcPr>
            <w:tcW w:type="dxa" w:w="1080"/>
          </w:tcPr>
          <w:p>
            <w:pPr>
              <w:jc w:val="center"/>
              <w:bidi w:val="1"/>
            </w:pPr>
            <w:r>
              <w:rPr>
                <w:rFonts w:ascii="Arial" w:hAnsi="Arial"/>
                <w:sz w:val="24"/>
              </w:rPr>
              <w:t>0.024</w:t>
            </w:r>
          </w:p>
        </w:tc>
        <w:tc>
          <w:tcPr>
            <w:tcW w:type="dxa" w:w="1080"/>
          </w:tcPr>
          <w:p>
            <w:pPr>
              <w:jc w:val="center"/>
              <w:bidi w:val="1"/>
            </w:pPr>
            <w:r>
              <w:rPr>
                <w:rFonts w:ascii="Arial" w:hAnsi="Arial"/>
                <w:sz w:val="24"/>
              </w:rPr>
              <w:t>0.065</w:t>
            </w:r>
          </w:p>
        </w:tc>
        <w:tc>
          <w:tcPr>
            <w:tcW w:type="dxa" w:w="1080"/>
          </w:tcPr>
          <w:p>
            <w:pPr>
              <w:jc w:val="center"/>
              <w:bidi w:val="1"/>
            </w:pPr>
            <w:r>
              <w:rPr>
                <w:rFonts w:ascii="Arial" w:hAnsi="Arial"/>
                <w:sz w:val="24"/>
              </w:rPr>
              <w:t>متوسط</w:t>
            </w:r>
          </w:p>
        </w:tc>
      </w:tr>
      <w:tr>
        <w:tc>
          <w:tcPr>
            <w:tcW w:type="dxa" w:w="1080"/>
          </w:tcPr>
          <w:p>
            <w:pPr>
              <w:jc w:val="center"/>
              <w:bidi w:val="1"/>
            </w:pPr>
            <w:r>
              <w:rPr>
                <w:rFonts w:ascii="Arial" w:hAnsi="Arial"/>
                <w:sz w:val="24"/>
              </w:rPr>
              <w:t>الخطأ</w:t>
            </w:r>
          </w:p>
        </w:tc>
        <w:tc>
          <w:tcPr>
            <w:tcW w:type="dxa" w:w="1080"/>
          </w:tcPr>
          <w:p>
            <w:pPr>
              <w:jc w:val="center"/>
              <w:bidi w:val="1"/>
            </w:pPr>
            <w:r>
              <w:rPr>
                <w:rFonts w:ascii="Arial" w:hAnsi="Arial"/>
                <w:sz w:val="24"/>
              </w:rPr>
              <w:t>44473.80</w:t>
            </w:r>
          </w:p>
        </w:tc>
        <w:tc>
          <w:tcPr>
            <w:tcW w:type="dxa" w:w="1080"/>
          </w:tcPr>
          <w:p>
            <w:pPr>
              <w:jc w:val="center"/>
              <w:bidi w:val="1"/>
            </w:pPr>
            <w:r>
              <w:rPr>
                <w:rFonts w:ascii="Arial" w:hAnsi="Arial"/>
                <w:sz w:val="24"/>
              </w:rPr>
              <w:t>76</w:t>
            </w:r>
          </w:p>
        </w:tc>
        <w:tc>
          <w:tcPr>
            <w:tcW w:type="dxa" w:w="1080"/>
          </w:tcPr>
          <w:p>
            <w:pPr>
              <w:jc w:val="center"/>
              <w:bidi w:val="1"/>
            </w:pPr>
            <w:r>
              <w:rPr>
                <w:rFonts w:ascii="Arial" w:hAnsi="Arial"/>
                <w:sz w:val="24"/>
              </w:rPr>
              <w:t>585.18</w:t>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r>
    </w:tbl>
    <w:p/>
    <w:p>
      <w:pPr>
        <w:jc w:val="right"/>
        <w:bidi w:val="1"/>
      </w:pPr>
      <w:r>
        <w:rPr>
          <w:rFonts w:ascii="Arial" w:hAnsi="Arial"/>
          <w:sz w:val="28"/>
        </w:rPr>
        <w:t>يتضح من الجدول أن قيمة (F = 5.30) عند درجات حرية (1، 76)، وهي دالة إحصائياً عند مستوى (0.05)؛ حيث بلغ مستوى الدلالة (0.024)، وبلغ حجم التأثير (η² = 0.065) وهو حجم تأثير متوسط. وهذا يشير إلى وجود فرق دال إحصائياً في التدفق الذهني لصالح النمط التشاركي (م = 220.95) مقارنة بالتنافسي (م = 208.50)؛ لذا يتم رفض الفرض الصفري الرابع.</w:t>
      </w:r>
    </w:p>
    <w:p/>
    <w:p>
      <w:pPr>
        <w:jc w:val="right"/>
        <w:bidi w:val="1"/>
      </w:pPr>
      <w:r>
        <w:rPr>
          <w:rFonts w:ascii="Arial" w:hAnsi="Arial"/>
          <w:sz w:val="28"/>
        </w:rPr>
        <w:t>الفرض الخامس:</w:t>
      </w:r>
    </w:p>
    <w:p>
      <w:pPr>
        <w:jc w:val="right"/>
        <w:bidi w:val="1"/>
      </w:pPr>
      <w:r>
        <w:rPr>
          <w:rFonts w:ascii="Arial" w:hAnsi="Arial"/>
          <w:sz w:val="28"/>
        </w:rPr>
        <w:t>نص الفرض الخامس على: "لا يوجد فرق دال إحصائياً عند مستوى دلالة (≤ 0.05) بين متوسطات درجات طلاب المجموعات التجريبية في القياس البعدي لمقياس التدفق الذهني يرجع للتأثير الرئيسي لزمن حشد المصادر (محدد/مفتوح)".</w:t>
      </w:r>
    </w:p>
    <w:p/>
    <w:p>
      <w:pPr>
        <w:jc w:val="center"/>
        <w:bidi w:val="1"/>
      </w:pPr>
      <w:r>
        <w:rPr>
          <w:rFonts w:ascii="Arial" w:hAnsi="Arial"/>
          <w:b/>
          <w:sz w:val="24"/>
        </w:rPr>
        <w:t>جدول (×): نتائج ANOVA للتأثير الرئيسي للزمن على التدفق الذهني</w:t>
      </w:r>
    </w:p>
    <w:tbl>
      <w:tblPr>
        <w:tblStyle w:val="TableGrid"/>
        <w:tblW w:type="auto" w:w="0"/>
        <w:tblLook w:firstColumn="1" w:firstRow="1" w:lastColumn="0" w:lastRow="0" w:noHBand="0" w:noVBand="1" w:val="04A0"/>
        <w:bidiVisual w:val="1"/>
      </w:tblPr>
      <w:tblGrid>
        <w:gridCol w:w="1080"/>
        <w:gridCol w:w="1080"/>
        <w:gridCol w:w="1080"/>
        <w:gridCol w:w="1080"/>
        <w:gridCol w:w="1080"/>
        <w:gridCol w:w="1080"/>
        <w:gridCol w:w="1080"/>
        <w:gridCol w:w="1080"/>
      </w:tblGrid>
      <w:tr>
        <w:tc>
          <w:tcPr>
            <w:tcW w:type="dxa" w:w="1080"/>
          </w:tcPr>
          <w:p>
            <w:pPr>
              <w:jc w:val="center"/>
              <w:bidi w:val="1"/>
            </w:pPr>
            <w:r>
              <w:rPr>
                <w:rFonts w:ascii="Arial" w:hAnsi="Arial"/>
                <w:b/>
                <w:sz w:val="24"/>
              </w:rPr>
              <w:t>مصدر التباين</w:t>
            </w:r>
          </w:p>
        </w:tc>
        <w:tc>
          <w:tcPr>
            <w:tcW w:type="dxa" w:w="1080"/>
          </w:tcPr>
          <w:p>
            <w:pPr>
              <w:jc w:val="center"/>
              <w:bidi w:val="1"/>
            </w:pPr>
            <w:r>
              <w:rPr>
                <w:rFonts w:ascii="Arial" w:hAnsi="Arial"/>
                <w:b/>
                <w:sz w:val="24"/>
              </w:rPr>
              <w:t>SS</w:t>
            </w:r>
          </w:p>
        </w:tc>
        <w:tc>
          <w:tcPr>
            <w:tcW w:type="dxa" w:w="1080"/>
          </w:tcPr>
          <w:p>
            <w:pPr>
              <w:jc w:val="center"/>
              <w:bidi w:val="1"/>
            </w:pPr>
            <w:r>
              <w:rPr>
                <w:rFonts w:ascii="Arial" w:hAnsi="Arial"/>
                <w:b/>
                <w:sz w:val="24"/>
              </w:rPr>
              <w:t>df</w:t>
            </w:r>
          </w:p>
        </w:tc>
        <w:tc>
          <w:tcPr>
            <w:tcW w:type="dxa" w:w="1080"/>
          </w:tcPr>
          <w:p>
            <w:pPr>
              <w:jc w:val="center"/>
              <w:bidi w:val="1"/>
            </w:pPr>
            <w:r>
              <w:rPr>
                <w:rFonts w:ascii="Arial" w:hAnsi="Arial"/>
                <w:b/>
                <w:sz w:val="24"/>
              </w:rPr>
              <w:t>MS</w:t>
            </w:r>
          </w:p>
        </w:tc>
        <w:tc>
          <w:tcPr>
            <w:tcW w:type="dxa" w:w="1080"/>
          </w:tcPr>
          <w:p>
            <w:pPr>
              <w:jc w:val="center"/>
              <w:bidi w:val="1"/>
            </w:pPr>
            <w:r>
              <w:rPr>
                <w:rFonts w:ascii="Arial" w:hAnsi="Arial"/>
                <w:b/>
                <w:sz w:val="24"/>
              </w:rPr>
              <w:t>F</w:t>
            </w:r>
          </w:p>
        </w:tc>
        <w:tc>
          <w:tcPr>
            <w:tcW w:type="dxa" w:w="1080"/>
          </w:tcPr>
          <w:p>
            <w:pPr>
              <w:jc w:val="center"/>
              <w:bidi w:val="1"/>
            </w:pPr>
            <w:r>
              <w:rPr>
                <w:rFonts w:ascii="Arial" w:hAnsi="Arial"/>
                <w:b/>
                <w:sz w:val="24"/>
              </w:rPr>
              <w:t>Sig</w:t>
            </w:r>
          </w:p>
        </w:tc>
        <w:tc>
          <w:tcPr>
            <w:tcW w:type="dxa" w:w="1080"/>
          </w:tcPr>
          <w:p>
            <w:pPr>
              <w:jc w:val="center"/>
              <w:bidi w:val="1"/>
            </w:pPr>
            <w:r>
              <w:rPr>
                <w:rFonts w:ascii="Arial" w:hAnsi="Arial"/>
                <w:b/>
                <w:sz w:val="24"/>
              </w:rPr>
              <w:t>η²</w:t>
            </w:r>
          </w:p>
        </w:tc>
        <w:tc>
          <w:tcPr>
            <w:tcW w:type="dxa" w:w="1080"/>
          </w:tcPr>
          <w:p>
            <w:pPr>
              <w:jc w:val="center"/>
              <w:bidi w:val="1"/>
            </w:pPr>
            <w:r>
              <w:rPr>
                <w:rFonts w:ascii="Arial" w:hAnsi="Arial"/>
                <w:b/>
                <w:sz w:val="24"/>
              </w:rPr>
              <w:t>حجم التأثير</w:t>
            </w:r>
          </w:p>
        </w:tc>
      </w:tr>
      <w:tr>
        <w:tc>
          <w:tcPr>
            <w:tcW w:type="dxa" w:w="1080"/>
          </w:tcPr>
          <w:p>
            <w:pPr>
              <w:jc w:val="center"/>
              <w:bidi w:val="1"/>
            </w:pPr>
            <w:r>
              <w:rPr>
                <w:rFonts w:ascii="Arial" w:hAnsi="Arial"/>
                <w:sz w:val="24"/>
              </w:rPr>
              <w:t>الزمن</w:t>
            </w:r>
          </w:p>
        </w:tc>
        <w:tc>
          <w:tcPr>
            <w:tcW w:type="dxa" w:w="1080"/>
          </w:tcPr>
          <w:p>
            <w:pPr>
              <w:jc w:val="center"/>
              <w:bidi w:val="1"/>
            </w:pPr>
            <w:r>
              <w:rPr>
                <w:rFonts w:ascii="Arial" w:hAnsi="Arial"/>
                <w:sz w:val="24"/>
              </w:rPr>
              <w:t>9724.05</w:t>
            </w:r>
          </w:p>
        </w:tc>
        <w:tc>
          <w:tcPr>
            <w:tcW w:type="dxa" w:w="1080"/>
          </w:tcPr>
          <w:p>
            <w:pPr>
              <w:jc w:val="center"/>
              <w:bidi w:val="1"/>
            </w:pPr>
            <w:r>
              <w:rPr>
                <w:rFonts w:ascii="Arial" w:hAnsi="Arial"/>
                <w:sz w:val="24"/>
              </w:rPr>
              <w:t>1</w:t>
            </w:r>
          </w:p>
        </w:tc>
        <w:tc>
          <w:tcPr>
            <w:tcW w:type="dxa" w:w="1080"/>
          </w:tcPr>
          <w:p>
            <w:pPr>
              <w:jc w:val="center"/>
              <w:bidi w:val="1"/>
            </w:pPr>
            <w:r>
              <w:rPr>
                <w:rFonts w:ascii="Arial" w:hAnsi="Arial"/>
                <w:sz w:val="24"/>
              </w:rPr>
              <w:t>9724.05</w:t>
            </w:r>
          </w:p>
        </w:tc>
        <w:tc>
          <w:tcPr>
            <w:tcW w:type="dxa" w:w="1080"/>
          </w:tcPr>
          <w:p>
            <w:pPr>
              <w:jc w:val="center"/>
              <w:bidi w:val="1"/>
            </w:pPr>
            <w:r>
              <w:rPr>
                <w:rFonts w:ascii="Arial" w:hAnsi="Arial"/>
                <w:sz w:val="24"/>
              </w:rPr>
              <w:t>16.62</w:t>
            </w:r>
          </w:p>
        </w:tc>
        <w:tc>
          <w:tcPr>
            <w:tcW w:type="dxa" w:w="1080"/>
          </w:tcPr>
          <w:p>
            <w:pPr>
              <w:jc w:val="center"/>
              <w:bidi w:val="1"/>
            </w:pPr>
            <w:r>
              <w:rPr>
                <w:rFonts w:ascii="Arial" w:hAnsi="Arial"/>
                <w:sz w:val="24"/>
              </w:rPr>
              <w:t>0.000</w:t>
            </w:r>
          </w:p>
        </w:tc>
        <w:tc>
          <w:tcPr>
            <w:tcW w:type="dxa" w:w="1080"/>
          </w:tcPr>
          <w:p>
            <w:pPr>
              <w:jc w:val="center"/>
              <w:bidi w:val="1"/>
            </w:pPr>
            <w:r>
              <w:rPr>
                <w:rFonts w:ascii="Arial" w:hAnsi="Arial"/>
                <w:sz w:val="24"/>
              </w:rPr>
              <w:t>0.179</w:t>
            </w:r>
          </w:p>
        </w:tc>
        <w:tc>
          <w:tcPr>
            <w:tcW w:type="dxa" w:w="1080"/>
          </w:tcPr>
          <w:p>
            <w:pPr>
              <w:jc w:val="center"/>
              <w:bidi w:val="1"/>
            </w:pPr>
            <w:r>
              <w:rPr>
                <w:rFonts w:ascii="Arial" w:hAnsi="Arial"/>
                <w:sz w:val="24"/>
              </w:rPr>
              <w:t>كبير</w:t>
            </w:r>
          </w:p>
        </w:tc>
      </w:tr>
      <w:tr>
        <w:tc>
          <w:tcPr>
            <w:tcW w:type="dxa" w:w="1080"/>
          </w:tcPr>
          <w:p>
            <w:pPr>
              <w:jc w:val="center"/>
              <w:bidi w:val="1"/>
            </w:pPr>
            <w:r>
              <w:rPr>
                <w:rFonts w:ascii="Arial" w:hAnsi="Arial"/>
                <w:sz w:val="24"/>
              </w:rPr>
              <w:t>الخطأ</w:t>
            </w:r>
          </w:p>
        </w:tc>
        <w:tc>
          <w:tcPr>
            <w:tcW w:type="dxa" w:w="1080"/>
          </w:tcPr>
          <w:p>
            <w:pPr>
              <w:jc w:val="center"/>
              <w:bidi w:val="1"/>
            </w:pPr>
            <w:r>
              <w:rPr>
                <w:rFonts w:ascii="Arial" w:hAnsi="Arial"/>
                <w:sz w:val="24"/>
              </w:rPr>
              <w:t>44473.80</w:t>
            </w:r>
          </w:p>
        </w:tc>
        <w:tc>
          <w:tcPr>
            <w:tcW w:type="dxa" w:w="1080"/>
          </w:tcPr>
          <w:p>
            <w:pPr>
              <w:jc w:val="center"/>
              <w:bidi w:val="1"/>
            </w:pPr>
            <w:r>
              <w:rPr>
                <w:rFonts w:ascii="Arial" w:hAnsi="Arial"/>
                <w:sz w:val="24"/>
              </w:rPr>
              <w:t>76</w:t>
            </w:r>
          </w:p>
        </w:tc>
        <w:tc>
          <w:tcPr>
            <w:tcW w:type="dxa" w:w="1080"/>
          </w:tcPr>
          <w:p>
            <w:pPr>
              <w:jc w:val="center"/>
              <w:bidi w:val="1"/>
            </w:pPr>
            <w:r>
              <w:rPr>
                <w:rFonts w:ascii="Arial" w:hAnsi="Arial"/>
                <w:sz w:val="24"/>
              </w:rPr>
              <w:t>585.18</w:t>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c>
          <w:tcPr>
            <w:tcW w:type="dxa" w:w="1080"/>
          </w:tcPr>
          <w:p>
            <w:pPr>
              <w:jc w:val="center"/>
              <w:bidi w:val="1"/>
            </w:pPr>
            <w:r>
              <w:rPr>
                <w:rFonts w:ascii="Arial" w:hAnsi="Arial"/>
                <w:sz w:val="24"/>
              </w:rPr>
            </w:r>
          </w:p>
        </w:tc>
      </w:tr>
    </w:tbl>
    <w:p/>
    <w:p>
      <w:pPr>
        <w:jc w:val="right"/>
        <w:bidi w:val="1"/>
      </w:pPr>
      <w:r>
        <w:rPr>
          <w:rFonts w:ascii="Arial" w:hAnsi="Arial"/>
          <w:sz w:val="28"/>
        </w:rPr>
        <w:t>يتضح من الجدول أن قيمة (F = 16.62) وهي دالة إحصائياً بمستوى دلالة (0.000)، وبلغ حجم التأثير (η² = 0.179) وهو كبير. وهذا يشير إلى تفوق الزمن المفتوح (م = 225.75) على الزمن المحدد (م = 203.70) في التدفق الذهني؛ لذا يتم رفض الفرض الصفري الخامس.</w:t>
      </w:r>
    </w:p>
    <w:p/>
    <w:p>
      <w:pPr>
        <w:jc w:val="right"/>
        <w:bidi w:val="1"/>
      </w:pPr>
      <w:r>
        <w:rPr>
          <w:rFonts w:ascii="Arial" w:hAnsi="Arial"/>
          <w:sz w:val="28"/>
        </w:rPr>
        <w:t>الفرض السادس:</w:t>
      </w:r>
    </w:p>
    <w:p>
      <w:pPr>
        <w:jc w:val="right"/>
        <w:bidi w:val="1"/>
      </w:pPr>
      <w:r>
        <w:rPr>
          <w:rFonts w:ascii="Arial" w:hAnsi="Arial"/>
          <w:sz w:val="28"/>
        </w:rPr>
        <w:t>نص الفرض السادس على: "لا يوجد تأثير دال إحصائياً عند مستوى دلالة (≤ 0.05) للتفاعل بين نمط حشد المصادر (تنافسي/تشاركي) وزمنه (محدد/مفتوح) على درجات الطلاب في القياس البعدي لمقياس التدفق الذهني".</w:t>
      </w:r>
    </w:p>
    <w:p/>
    <w:p>
      <w:pPr>
        <w:jc w:val="center"/>
        <w:bidi w:val="1"/>
      </w:pPr>
      <w:r>
        <w:rPr>
          <w:rFonts w:ascii="Arial" w:hAnsi="Arial"/>
          <w:b/>
          <w:sz w:val="24"/>
        </w:rPr>
        <w:t>جدول (×): جدول Two-way ANOVA الكامل لمقياس التدفق الذهني</w:t>
      </w:r>
    </w:p>
    <w:tbl>
      <w:tblPr>
        <w:tblStyle w:val="TableGrid"/>
        <w:tblW w:type="auto" w:w="0"/>
        <w:tblLook w:firstColumn="1" w:firstRow="1" w:lastColumn="0" w:lastRow="0" w:noHBand="0" w:noVBand="1" w:val="04A0"/>
        <w:bidiVisual w:val="1"/>
      </w:tblPr>
      <w:tblGrid>
        <w:gridCol w:w="1080"/>
        <w:gridCol w:w="1080"/>
        <w:gridCol w:w="1080"/>
        <w:gridCol w:w="1080"/>
        <w:gridCol w:w="1080"/>
        <w:gridCol w:w="1080"/>
        <w:gridCol w:w="1080"/>
        <w:gridCol w:w="1080"/>
      </w:tblGrid>
      <w:tr>
        <w:tc>
          <w:tcPr>
            <w:tcW w:type="dxa" w:w="1080"/>
          </w:tcPr>
          <w:p>
            <w:pPr>
              <w:jc w:val="center"/>
              <w:bidi w:val="1"/>
            </w:pPr>
            <w:r>
              <w:rPr>
                <w:rFonts w:ascii="Arial" w:hAnsi="Arial"/>
                <w:b/>
                <w:sz w:val="24"/>
              </w:rPr>
              <w:t>مصدر التباين</w:t>
            </w:r>
          </w:p>
        </w:tc>
        <w:tc>
          <w:tcPr>
            <w:tcW w:type="dxa" w:w="1080"/>
          </w:tcPr>
          <w:p>
            <w:pPr>
              <w:jc w:val="center"/>
              <w:bidi w:val="1"/>
            </w:pPr>
            <w:r>
              <w:rPr>
                <w:rFonts w:ascii="Arial" w:hAnsi="Arial"/>
                <w:b/>
                <w:sz w:val="24"/>
              </w:rPr>
              <w:t>SS</w:t>
            </w:r>
          </w:p>
        </w:tc>
        <w:tc>
          <w:tcPr>
            <w:tcW w:type="dxa" w:w="1080"/>
          </w:tcPr>
          <w:p>
            <w:pPr>
              <w:jc w:val="center"/>
              <w:bidi w:val="1"/>
            </w:pPr>
            <w:r>
              <w:rPr>
                <w:rFonts w:ascii="Arial" w:hAnsi="Arial"/>
                <w:b/>
                <w:sz w:val="24"/>
              </w:rPr>
              <w:t>df</w:t>
            </w:r>
          </w:p>
        </w:tc>
        <w:tc>
          <w:tcPr>
            <w:tcW w:type="dxa" w:w="1080"/>
          </w:tcPr>
          <w:p>
            <w:pPr>
              <w:jc w:val="center"/>
              <w:bidi w:val="1"/>
            </w:pPr>
            <w:r>
              <w:rPr>
                <w:rFonts w:ascii="Arial" w:hAnsi="Arial"/>
                <w:b/>
                <w:sz w:val="24"/>
              </w:rPr>
              <w:t>MS</w:t>
            </w:r>
          </w:p>
        </w:tc>
        <w:tc>
          <w:tcPr>
            <w:tcW w:type="dxa" w:w="1080"/>
          </w:tcPr>
          <w:p>
            <w:pPr>
              <w:jc w:val="center"/>
              <w:bidi w:val="1"/>
            </w:pPr>
            <w:r>
              <w:rPr>
                <w:rFonts w:ascii="Arial" w:hAnsi="Arial"/>
                <w:b/>
                <w:sz w:val="24"/>
              </w:rPr>
              <w:t>F</w:t>
            </w:r>
          </w:p>
        </w:tc>
        <w:tc>
          <w:tcPr>
            <w:tcW w:type="dxa" w:w="1080"/>
          </w:tcPr>
          <w:p>
            <w:pPr>
              <w:jc w:val="center"/>
              <w:bidi w:val="1"/>
            </w:pPr>
            <w:r>
              <w:rPr>
                <w:rFonts w:ascii="Arial" w:hAnsi="Arial"/>
                <w:b/>
                <w:sz w:val="24"/>
              </w:rPr>
              <w:t>Sig</w:t>
            </w:r>
          </w:p>
        </w:tc>
        <w:tc>
          <w:tcPr>
            <w:tcW w:type="dxa" w:w="1080"/>
          </w:tcPr>
          <w:p>
            <w:pPr>
              <w:jc w:val="center"/>
              <w:bidi w:val="1"/>
            </w:pPr>
            <w:r>
              <w:rPr>
                <w:rFonts w:ascii="Arial" w:hAnsi="Arial"/>
                <w:b/>
                <w:sz w:val="24"/>
              </w:rPr>
              <w:t>η²</w:t>
            </w:r>
          </w:p>
        </w:tc>
        <w:tc>
          <w:tcPr>
            <w:tcW w:type="dxa" w:w="1080"/>
          </w:tcPr>
          <w:p>
            <w:pPr>
              <w:jc w:val="center"/>
              <w:bidi w:val="1"/>
            </w:pPr>
            <w:r>
              <w:rPr>
                <w:rFonts w:ascii="Arial" w:hAnsi="Arial"/>
                <w:b/>
                <w:sz w:val="24"/>
              </w:rPr>
              <w:t>حجم التأثير</w:t>
            </w:r>
          </w:p>
        </w:tc>
      </w:tr>
      <w:tr>
        <w:tc>
          <w:tcPr>
            <w:tcW w:type="dxa" w:w="1080"/>
          </w:tcPr>
          <w:p>
            <w:pPr>
              <w:jc w:val="center"/>
              <w:bidi w:val="1"/>
            </w:pPr>
            <w:r>
              <w:rPr>
                <w:rFonts w:ascii="Arial" w:hAnsi="Arial"/>
                <w:sz w:val="24"/>
              </w:rPr>
              <w:t>نمط الحشد</w:t>
            </w:r>
          </w:p>
        </w:tc>
        <w:tc>
          <w:tcPr>
            <w:tcW w:type="dxa" w:w="1080"/>
          </w:tcPr>
          <w:p>
            <w:pPr>
              <w:jc w:val="center"/>
              <w:bidi w:val="1"/>
            </w:pPr>
            <w:r>
              <w:rPr>
                <w:rFonts w:ascii="Arial" w:hAnsi="Arial"/>
                <w:sz w:val="24"/>
              </w:rPr>
              <w:t>3100.05</w:t>
            </w:r>
          </w:p>
        </w:tc>
        <w:tc>
          <w:tcPr>
            <w:tcW w:type="dxa" w:w="1080"/>
          </w:tcPr>
          <w:p>
            <w:pPr>
              <w:jc w:val="center"/>
              <w:bidi w:val="1"/>
            </w:pPr>
            <w:r>
              <w:rPr>
                <w:rFonts w:ascii="Arial" w:hAnsi="Arial"/>
                <w:sz w:val="24"/>
              </w:rPr>
              <w:t>1</w:t>
            </w:r>
          </w:p>
        </w:tc>
        <w:tc>
          <w:tcPr>
            <w:tcW w:type="dxa" w:w="1080"/>
          </w:tcPr>
          <w:p>
            <w:pPr>
              <w:jc w:val="center"/>
              <w:bidi w:val="1"/>
            </w:pPr>
            <w:r>
              <w:rPr>
                <w:rFonts w:ascii="Arial" w:hAnsi="Arial"/>
                <w:sz w:val="24"/>
              </w:rPr>
              <w:t>3100.05</w:t>
            </w:r>
          </w:p>
        </w:tc>
        <w:tc>
          <w:tcPr>
            <w:tcW w:type="dxa" w:w="1080"/>
          </w:tcPr>
          <w:p>
            <w:pPr>
              <w:jc w:val="center"/>
              <w:bidi w:val="1"/>
            </w:pPr>
            <w:r>
              <w:rPr>
                <w:rFonts w:ascii="Arial" w:hAnsi="Arial"/>
                <w:sz w:val="24"/>
              </w:rPr>
              <w:t>5.30</w:t>
            </w:r>
          </w:p>
        </w:tc>
        <w:tc>
          <w:tcPr>
            <w:tcW w:type="dxa" w:w="1080"/>
          </w:tcPr>
          <w:p>
            <w:pPr>
              <w:jc w:val="center"/>
              <w:bidi w:val="1"/>
            </w:pPr>
            <w:r>
              <w:rPr>
                <w:rFonts w:ascii="Arial" w:hAnsi="Arial"/>
                <w:sz w:val="24"/>
              </w:rPr>
              <w:t>0.024</w:t>
            </w:r>
          </w:p>
        </w:tc>
        <w:tc>
          <w:tcPr>
            <w:tcW w:type="dxa" w:w="1080"/>
          </w:tcPr>
          <w:p>
            <w:pPr>
              <w:jc w:val="center"/>
              <w:bidi w:val="1"/>
            </w:pPr>
            <w:r>
              <w:rPr>
                <w:rFonts w:ascii="Arial" w:hAnsi="Arial"/>
                <w:sz w:val="24"/>
              </w:rPr>
              <w:t>0.065</w:t>
            </w:r>
          </w:p>
        </w:tc>
        <w:tc>
          <w:tcPr>
            <w:tcW w:type="dxa" w:w="1080"/>
          </w:tcPr>
          <w:p>
            <w:pPr>
              <w:jc w:val="center"/>
              <w:bidi w:val="1"/>
            </w:pPr>
            <w:r>
              <w:rPr>
                <w:rFonts w:ascii="Arial" w:hAnsi="Arial"/>
                <w:sz w:val="24"/>
              </w:rPr>
              <w:t>متوسط</w:t>
            </w:r>
          </w:p>
        </w:tc>
      </w:tr>
      <w:tr>
        <w:tc>
          <w:tcPr>
            <w:tcW w:type="dxa" w:w="1080"/>
          </w:tcPr>
          <w:p>
            <w:pPr>
              <w:jc w:val="center"/>
              <w:bidi w:val="1"/>
            </w:pPr>
            <w:r>
              <w:rPr>
                <w:rFonts w:ascii="Arial" w:hAnsi="Arial"/>
                <w:sz w:val="24"/>
              </w:rPr>
              <w:t>الزمن</w:t>
            </w:r>
          </w:p>
        </w:tc>
        <w:tc>
          <w:tcPr>
            <w:tcW w:type="dxa" w:w="1080"/>
          </w:tcPr>
          <w:p>
            <w:pPr>
              <w:jc w:val="center"/>
              <w:bidi w:val="1"/>
            </w:pPr>
            <w:r>
              <w:rPr>
                <w:rFonts w:ascii="Arial" w:hAnsi="Arial"/>
                <w:sz w:val="24"/>
              </w:rPr>
              <w:t>9724.05</w:t>
            </w:r>
          </w:p>
        </w:tc>
        <w:tc>
          <w:tcPr>
            <w:tcW w:type="dxa" w:w="1080"/>
          </w:tcPr>
          <w:p>
            <w:pPr>
              <w:jc w:val="center"/>
              <w:bidi w:val="1"/>
            </w:pPr>
            <w:r>
              <w:rPr>
                <w:rFonts w:ascii="Arial" w:hAnsi="Arial"/>
                <w:sz w:val="24"/>
              </w:rPr>
              <w:t>1</w:t>
            </w:r>
          </w:p>
        </w:tc>
        <w:tc>
          <w:tcPr>
            <w:tcW w:type="dxa" w:w="1080"/>
          </w:tcPr>
          <w:p>
            <w:pPr>
              <w:jc w:val="center"/>
              <w:bidi w:val="1"/>
            </w:pPr>
            <w:r>
              <w:rPr>
                <w:rFonts w:ascii="Arial" w:hAnsi="Arial"/>
                <w:sz w:val="24"/>
              </w:rPr>
              <w:t>9724.05</w:t>
            </w:r>
          </w:p>
        </w:tc>
        <w:tc>
          <w:tcPr>
            <w:tcW w:type="dxa" w:w="1080"/>
          </w:tcPr>
          <w:p>
            <w:pPr>
              <w:jc w:val="center"/>
              <w:bidi w:val="1"/>
            </w:pPr>
            <w:r>
              <w:rPr>
                <w:rFonts w:ascii="Arial" w:hAnsi="Arial"/>
                <w:sz w:val="24"/>
              </w:rPr>
              <w:t>16.62</w:t>
            </w:r>
          </w:p>
        </w:tc>
        <w:tc>
          <w:tcPr>
            <w:tcW w:type="dxa" w:w="1080"/>
          </w:tcPr>
          <w:p>
            <w:pPr>
              <w:jc w:val="center"/>
              <w:bidi w:val="1"/>
            </w:pPr>
            <w:r>
              <w:rPr>
                <w:rFonts w:ascii="Arial" w:hAnsi="Arial"/>
                <w:sz w:val="24"/>
              </w:rPr>
              <w:t>0.000</w:t>
            </w:r>
          </w:p>
        </w:tc>
        <w:tc>
          <w:tcPr>
            <w:tcW w:type="dxa" w:w="1080"/>
          </w:tcPr>
          <w:p>
            <w:pPr>
              <w:jc w:val="center"/>
              <w:bidi w:val="1"/>
            </w:pPr>
            <w:r>
              <w:rPr>
                <w:rFonts w:ascii="Arial" w:hAnsi="Arial"/>
                <w:sz w:val="24"/>
              </w:rPr>
              <w:t>0.179</w:t>
            </w:r>
          </w:p>
        </w:tc>
        <w:tc>
          <w:tcPr>
            <w:tcW w:type="dxa" w:w="1080"/>
          </w:tcPr>
          <w:p>
            <w:pPr>
              <w:jc w:val="center"/>
              <w:bidi w:val="1"/>
            </w:pPr>
            <w:r>
              <w:rPr>
                <w:rFonts w:ascii="Arial" w:hAnsi="Arial"/>
                <w:sz w:val="24"/>
              </w:rPr>
              <w:t>كبير</w:t>
            </w:r>
          </w:p>
        </w:tc>
      </w:tr>
      <w:tr>
        <w:tc>
          <w:tcPr>
            <w:tcW w:type="dxa" w:w="1080"/>
          </w:tcPr>
          <w:p>
            <w:pPr>
              <w:jc w:val="center"/>
              <w:bidi w:val="1"/>
            </w:pPr>
            <w:r>
              <w:rPr>
                <w:rFonts w:ascii="Arial" w:hAnsi="Arial"/>
                <w:sz w:val="24"/>
              </w:rPr>
              <w:t>نمط الحشد × الزمن</w:t>
            </w:r>
          </w:p>
        </w:tc>
        <w:tc>
          <w:tcPr>
            <w:tcW w:type="dxa" w:w="1080"/>
          </w:tcPr>
          <w:p>
            <w:pPr>
              <w:jc w:val="center"/>
              <w:bidi w:val="1"/>
            </w:pPr>
            <w:r>
              <w:rPr>
                <w:rFonts w:ascii="Arial" w:hAnsi="Arial"/>
                <w:sz w:val="24"/>
              </w:rPr>
              <w:t>42.05</w:t>
            </w:r>
          </w:p>
        </w:tc>
        <w:tc>
          <w:tcPr>
            <w:tcW w:type="dxa" w:w="1080"/>
          </w:tcPr>
          <w:p>
            <w:pPr>
              <w:jc w:val="center"/>
              <w:bidi w:val="1"/>
            </w:pPr>
            <w:r>
              <w:rPr>
                <w:rFonts w:ascii="Arial" w:hAnsi="Arial"/>
                <w:sz w:val="24"/>
              </w:rPr>
              <w:t>1</w:t>
            </w:r>
          </w:p>
        </w:tc>
        <w:tc>
          <w:tcPr>
            <w:tcW w:type="dxa" w:w="1080"/>
          </w:tcPr>
          <w:p>
            <w:pPr>
              <w:jc w:val="center"/>
              <w:bidi w:val="1"/>
            </w:pPr>
            <w:r>
              <w:rPr>
                <w:rFonts w:ascii="Arial" w:hAnsi="Arial"/>
                <w:sz w:val="24"/>
              </w:rPr>
              <w:t>42.05</w:t>
            </w:r>
          </w:p>
        </w:tc>
        <w:tc>
          <w:tcPr>
            <w:tcW w:type="dxa" w:w="1080"/>
          </w:tcPr>
          <w:p>
            <w:pPr>
              <w:jc w:val="center"/>
              <w:bidi w:val="1"/>
            </w:pPr>
            <w:r>
              <w:rPr>
                <w:rFonts w:ascii="Arial" w:hAnsi="Arial"/>
                <w:sz w:val="24"/>
              </w:rPr>
              <w:t>0.07</w:t>
            </w:r>
          </w:p>
        </w:tc>
        <w:tc>
          <w:tcPr>
            <w:tcW w:type="dxa" w:w="1080"/>
          </w:tcPr>
          <w:p>
            <w:pPr>
              <w:jc w:val="center"/>
              <w:bidi w:val="1"/>
            </w:pPr>
            <w:r>
              <w:rPr>
                <w:rFonts w:ascii="Arial" w:hAnsi="Arial"/>
                <w:sz w:val="24"/>
              </w:rPr>
              <w:t>0.789</w:t>
            </w:r>
          </w:p>
        </w:tc>
        <w:tc>
          <w:tcPr>
            <w:tcW w:type="dxa" w:w="1080"/>
          </w:tcPr>
          <w:p>
            <w:pPr>
              <w:jc w:val="center"/>
              <w:bidi w:val="1"/>
            </w:pPr>
            <w:r>
              <w:rPr>
                <w:rFonts w:ascii="Arial" w:hAnsi="Arial"/>
                <w:sz w:val="24"/>
              </w:rPr>
              <w:t>0.001</w:t>
            </w:r>
          </w:p>
        </w:tc>
        <w:tc>
          <w:tcPr>
            <w:tcW w:type="dxa" w:w="1080"/>
          </w:tcPr>
          <w:p>
            <w:pPr>
              <w:jc w:val="center"/>
              <w:bidi w:val="1"/>
            </w:pPr>
            <w:r>
              <w:rPr>
                <w:rFonts w:ascii="Arial" w:hAnsi="Arial"/>
                <w:sz w:val="24"/>
              </w:rPr>
              <w:t>ضعيف جداً</w:t>
            </w:r>
          </w:p>
        </w:tc>
      </w:tr>
      <w:tr>
        <w:tc>
          <w:tcPr>
            <w:tcW w:type="dxa" w:w="1080"/>
          </w:tcPr>
          <w:p>
            <w:pPr>
              <w:jc w:val="center"/>
              <w:bidi w:val="1"/>
            </w:pPr>
            <w:r>
              <w:rPr>
                <w:rFonts w:ascii="Arial" w:hAnsi="Arial"/>
                <w:sz w:val="24"/>
              </w:rPr>
              <w:t>الخطأ</w:t>
            </w:r>
          </w:p>
        </w:tc>
        <w:tc>
          <w:tcPr>
            <w:tcW w:type="dxa" w:w="1080"/>
          </w:tcPr>
          <w:p>
            <w:pPr>
              <w:jc w:val="center"/>
              <w:bidi w:val="1"/>
            </w:pPr>
            <w:r>
              <w:rPr>
                <w:rFonts w:ascii="Arial" w:hAnsi="Arial"/>
                <w:sz w:val="24"/>
              </w:rPr>
              <w:t>44473.80</w:t>
            </w:r>
          </w:p>
        </w:tc>
        <w:tc>
          <w:tcPr>
            <w:tcW w:type="dxa" w:w="1080"/>
          </w:tcPr>
          <w:p>
            <w:pPr>
              <w:jc w:val="center"/>
              <w:bidi w:val="1"/>
            </w:pPr>
            <w:r>
              <w:rPr>
                <w:rFonts w:ascii="Arial" w:hAnsi="Arial"/>
                <w:sz w:val="24"/>
              </w:rPr>
              <w:t>76</w:t>
            </w:r>
          </w:p>
        </w:tc>
        <w:tc>
          <w:tcPr>
            <w:tcW w:type="dxa" w:w="1080"/>
          </w:tcPr>
          <w:p>
            <w:pPr>
              <w:jc w:val="center"/>
              <w:bidi w:val="1"/>
            </w:pPr>
            <w:r>
              <w:rPr>
                <w:rFonts w:ascii="Arial" w:hAnsi="Arial"/>
                <w:sz w:val="24"/>
              </w:rPr>
              <w:t>585.18</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r>
      <w:tr>
        <w:tc>
          <w:tcPr>
            <w:tcW w:type="dxa" w:w="1080"/>
          </w:tcPr>
          <w:p>
            <w:pPr>
              <w:jc w:val="center"/>
              <w:bidi w:val="1"/>
            </w:pPr>
            <w:r>
              <w:rPr>
                <w:rFonts w:ascii="Arial" w:hAnsi="Arial"/>
                <w:sz w:val="24"/>
              </w:rPr>
              <w:t>الكلي المُصحح</w:t>
            </w:r>
          </w:p>
        </w:tc>
        <w:tc>
          <w:tcPr>
            <w:tcW w:type="dxa" w:w="1080"/>
          </w:tcPr>
          <w:p>
            <w:pPr>
              <w:jc w:val="center"/>
              <w:bidi w:val="1"/>
            </w:pPr>
            <w:r>
              <w:rPr>
                <w:rFonts w:ascii="Arial" w:hAnsi="Arial"/>
                <w:sz w:val="24"/>
              </w:rPr>
              <w:t>57339.95</w:t>
            </w:r>
          </w:p>
        </w:tc>
        <w:tc>
          <w:tcPr>
            <w:tcW w:type="dxa" w:w="1080"/>
          </w:tcPr>
          <w:p>
            <w:pPr>
              <w:jc w:val="center"/>
              <w:bidi w:val="1"/>
            </w:pPr>
            <w:r>
              <w:rPr>
                <w:rFonts w:ascii="Arial" w:hAnsi="Arial"/>
                <w:sz w:val="24"/>
              </w:rPr>
              <w:t>79</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c>
          <w:tcPr>
            <w:tcW w:type="dxa" w:w="1080"/>
          </w:tcPr>
          <w:p>
            <w:pPr>
              <w:jc w:val="center"/>
              <w:bidi w:val="1"/>
            </w:pPr>
            <w:r>
              <w:rPr>
                <w:rFonts w:ascii="Arial" w:hAnsi="Arial"/>
                <w:sz w:val="24"/>
              </w:rPr>
              <w:t>-</w:t>
            </w:r>
          </w:p>
        </w:tc>
      </w:tr>
    </w:tbl>
    <w:p/>
    <w:p>
      <w:pPr>
        <w:jc w:val="right"/>
        <w:bidi w:val="1"/>
      </w:pPr>
      <w:r>
        <w:rPr>
          <w:rFonts w:ascii="Arial" w:hAnsi="Arial"/>
          <w:sz w:val="28"/>
        </w:rPr>
        <w:t>يتضح من الجدول أن قيمة (F) للتفاعل بلغت (0.07) بمستوى دلالة (0.789)، وهي غير دالة إحصائياً، وبلغ حجم التأثير (η² = 0.001). وهذا يعني عدم وجود تأثير دال إحصائياً للتفاعل بين نمط الحشد وزمنه على التدفق الذهني؛ لذا يتم قبول الفرض الصفري السادس.</w:t>
      </w:r>
    </w:p>
    <w:p/>
    <w:p>
      <w:pPr>
        <w:jc w:val="right"/>
        <w:bidi w:val="1"/>
      </w:pPr>
      <w:r>
        <w:rPr>
          <w:rFonts w:ascii="Arial" w:hAnsi="Arial"/>
          <w:sz w:val="28"/>
        </w:rPr>
        <w:t>ملخص نتائج اختبار فروض البحث:</w:t>
      </w:r>
    </w:p>
    <w:p>
      <w:pPr>
        <w:jc w:val="center"/>
        <w:bidi w:val="1"/>
      </w:pPr>
      <w:r>
        <w:rPr>
          <w:rFonts w:ascii="Arial" w:hAnsi="Arial"/>
          <w:b/>
          <w:sz w:val="24"/>
        </w:rPr>
        <w:t>جدول (×): ملخص نتائج اختبار الفروض الستة</w:t>
      </w:r>
    </w:p>
    <w:tbl>
      <w:tblPr>
        <w:tblStyle w:val="TableGrid"/>
        <w:tblW w:type="auto" w:w="0"/>
        <w:tblLook w:firstColumn="1" w:firstRow="1" w:lastColumn="0" w:lastRow="0" w:noHBand="0" w:noVBand="1" w:val="04A0"/>
        <w:bidiVisual w:val="1"/>
      </w:tblPr>
      <w:tblGrid>
        <w:gridCol w:w="1234"/>
        <w:gridCol w:w="1234"/>
        <w:gridCol w:w="1234"/>
        <w:gridCol w:w="1234"/>
        <w:gridCol w:w="1234"/>
        <w:gridCol w:w="1234"/>
        <w:gridCol w:w="1234"/>
      </w:tblGrid>
      <w:tr>
        <w:tc>
          <w:tcPr>
            <w:tcW w:type="dxa" w:w="1234"/>
          </w:tcPr>
          <w:p>
            <w:pPr>
              <w:jc w:val="center"/>
              <w:bidi w:val="1"/>
            </w:pPr>
            <w:r>
              <w:rPr>
                <w:rFonts w:ascii="Arial" w:hAnsi="Arial"/>
                <w:b/>
                <w:sz w:val="24"/>
              </w:rPr>
              <w:t>الفرض</w:t>
            </w:r>
          </w:p>
        </w:tc>
        <w:tc>
          <w:tcPr>
            <w:tcW w:type="dxa" w:w="1234"/>
          </w:tcPr>
          <w:p>
            <w:pPr>
              <w:jc w:val="center"/>
              <w:bidi w:val="1"/>
            </w:pPr>
            <w:r>
              <w:rPr>
                <w:rFonts w:ascii="Arial" w:hAnsi="Arial"/>
                <w:b/>
                <w:sz w:val="24"/>
              </w:rPr>
              <w:t>المتغير التابع</w:t>
            </w:r>
          </w:p>
        </w:tc>
        <w:tc>
          <w:tcPr>
            <w:tcW w:type="dxa" w:w="1234"/>
          </w:tcPr>
          <w:p>
            <w:pPr>
              <w:jc w:val="center"/>
              <w:bidi w:val="1"/>
            </w:pPr>
            <w:r>
              <w:rPr>
                <w:rFonts w:ascii="Arial" w:hAnsi="Arial"/>
                <w:b/>
                <w:sz w:val="24"/>
              </w:rPr>
              <w:t>F</w:t>
            </w:r>
          </w:p>
        </w:tc>
        <w:tc>
          <w:tcPr>
            <w:tcW w:type="dxa" w:w="1234"/>
          </w:tcPr>
          <w:p>
            <w:pPr>
              <w:jc w:val="center"/>
              <w:bidi w:val="1"/>
            </w:pPr>
            <w:r>
              <w:rPr>
                <w:rFonts w:ascii="Arial" w:hAnsi="Arial"/>
                <w:b/>
                <w:sz w:val="24"/>
              </w:rPr>
              <w:t>Sig</w:t>
            </w:r>
          </w:p>
        </w:tc>
        <w:tc>
          <w:tcPr>
            <w:tcW w:type="dxa" w:w="1234"/>
          </w:tcPr>
          <w:p>
            <w:pPr>
              <w:jc w:val="center"/>
              <w:bidi w:val="1"/>
            </w:pPr>
            <w:r>
              <w:rPr>
                <w:rFonts w:ascii="Arial" w:hAnsi="Arial"/>
                <w:b/>
                <w:sz w:val="24"/>
              </w:rPr>
              <w:t>η²</w:t>
            </w:r>
          </w:p>
        </w:tc>
        <w:tc>
          <w:tcPr>
            <w:tcW w:type="dxa" w:w="1234"/>
          </w:tcPr>
          <w:p>
            <w:pPr>
              <w:jc w:val="center"/>
              <w:bidi w:val="1"/>
            </w:pPr>
            <w:r>
              <w:rPr>
                <w:rFonts w:ascii="Arial" w:hAnsi="Arial"/>
                <w:b/>
                <w:sz w:val="24"/>
              </w:rPr>
              <w:t>حجم التأثير</w:t>
            </w:r>
          </w:p>
        </w:tc>
        <w:tc>
          <w:tcPr>
            <w:tcW w:type="dxa" w:w="1234"/>
          </w:tcPr>
          <w:p>
            <w:pPr>
              <w:jc w:val="center"/>
              <w:bidi w:val="1"/>
            </w:pPr>
            <w:r>
              <w:rPr>
                <w:rFonts w:ascii="Arial" w:hAnsi="Arial"/>
                <w:b/>
                <w:sz w:val="24"/>
              </w:rPr>
              <w:t>القرار</w:t>
            </w:r>
          </w:p>
        </w:tc>
      </w:tr>
      <w:tr>
        <w:tc>
          <w:tcPr>
            <w:tcW w:type="dxa" w:w="1234"/>
          </w:tcPr>
          <w:p>
            <w:pPr>
              <w:jc w:val="center"/>
              <w:bidi w:val="1"/>
            </w:pPr>
            <w:r>
              <w:rPr>
                <w:rFonts w:ascii="Arial" w:hAnsi="Arial"/>
                <w:sz w:val="24"/>
              </w:rPr>
              <w:t>ف1: نمط الحشد → حل مشكلات</w:t>
            </w:r>
          </w:p>
        </w:tc>
        <w:tc>
          <w:tcPr>
            <w:tcW w:type="dxa" w:w="1234"/>
          </w:tcPr>
          <w:p>
            <w:pPr>
              <w:jc w:val="center"/>
              <w:bidi w:val="1"/>
            </w:pPr>
            <w:r>
              <w:rPr>
                <w:rFonts w:ascii="Arial" w:hAnsi="Arial"/>
                <w:sz w:val="24"/>
              </w:rPr>
              <w:t>حل المشكلات</w:t>
            </w:r>
          </w:p>
        </w:tc>
        <w:tc>
          <w:tcPr>
            <w:tcW w:type="dxa" w:w="1234"/>
          </w:tcPr>
          <w:p>
            <w:pPr>
              <w:jc w:val="center"/>
              <w:bidi w:val="1"/>
            </w:pPr>
            <w:r>
              <w:rPr>
                <w:rFonts w:ascii="Arial" w:hAnsi="Arial"/>
                <w:sz w:val="24"/>
              </w:rPr>
              <w:t>24.31</w:t>
            </w:r>
          </w:p>
        </w:tc>
        <w:tc>
          <w:tcPr>
            <w:tcW w:type="dxa" w:w="1234"/>
          </w:tcPr>
          <w:p>
            <w:pPr>
              <w:jc w:val="center"/>
              <w:bidi w:val="1"/>
            </w:pPr>
            <w:r>
              <w:rPr>
                <w:rFonts w:ascii="Arial" w:hAnsi="Arial"/>
                <w:sz w:val="24"/>
              </w:rPr>
              <w:t>0.000</w:t>
            </w:r>
          </w:p>
        </w:tc>
        <w:tc>
          <w:tcPr>
            <w:tcW w:type="dxa" w:w="1234"/>
          </w:tcPr>
          <w:p>
            <w:pPr>
              <w:jc w:val="center"/>
              <w:bidi w:val="1"/>
            </w:pPr>
            <w:r>
              <w:rPr>
                <w:rFonts w:ascii="Arial" w:hAnsi="Arial"/>
                <w:sz w:val="24"/>
              </w:rPr>
              <w:t>0.242</w:t>
            </w:r>
          </w:p>
        </w:tc>
        <w:tc>
          <w:tcPr>
            <w:tcW w:type="dxa" w:w="1234"/>
          </w:tcPr>
          <w:p>
            <w:pPr>
              <w:jc w:val="center"/>
              <w:bidi w:val="1"/>
            </w:pPr>
            <w:r>
              <w:rPr>
                <w:rFonts w:ascii="Arial" w:hAnsi="Arial"/>
                <w:sz w:val="24"/>
              </w:rPr>
              <w:t>كبير</w:t>
            </w:r>
          </w:p>
        </w:tc>
        <w:tc>
          <w:tcPr>
            <w:tcW w:type="dxa" w:w="1234"/>
          </w:tcPr>
          <w:p>
            <w:pPr>
              <w:jc w:val="center"/>
              <w:bidi w:val="1"/>
            </w:pPr>
            <w:r>
              <w:rPr>
                <w:rFonts w:ascii="Arial" w:hAnsi="Arial"/>
                <w:sz w:val="24"/>
              </w:rPr>
              <w:t>رفض الفرض الصفري</w:t>
            </w:r>
          </w:p>
        </w:tc>
      </w:tr>
      <w:tr>
        <w:tc>
          <w:tcPr>
            <w:tcW w:type="dxa" w:w="1234"/>
          </w:tcPr>
          <w:p>
            <w:pPr>
              <w:jc w:val="center"/>
              <w:bidi w:val="1"/>
            </w:pPr>
            <w:r>
              <w:rPr>
                <w:rFonts w:ascii="Arial" w:hAnsi="Arial"/>
                <w:sz w:val="24"/>
              </w:rPr>
              <w:t>ف2: الزمن → حل مشكلات</w:t>
            </w:r>
          </w:p>
        </w:tc>
        <w:tc>
          <w:tcPr>
            <w:tcW w:type="dxa" w:w="1234"/>
          </w:tcPr>
          <w:p>
            <w:pPr>
              <w:jc w:val="center"/>
              <w:bidi w:val="1"/>
            </w:pPr>
            <w:r>
              <w:rPr>
                <w:rFonts w:ascii="Arial" w:hAnsi="Arial"/>
                <w:sz w:val="24"/>
              </w:rPr>
              <w:t>حل المشكلات</w:t>
            </w:r>
          </w:p>
        </w:tc>
        <w:tc>
          <w:tcPr>
            <w:tcW w:type="dxa" w:w="1234"/>
          </w:tcPr>
          <w:p>
            <w:pPr>
              <w:jc w:val="center"/>
              <w:bidi w:val="1"/>
            </w:pPr>
            <w:r>
              <w:rPr>
                <w:rFonts w:ascii="Arial" w:hAnsi="Arial"/>
                <w:sz w:val="24"/>
              </w:rPr>
              <w:t>0.07</w:t>
            </w:r>
          </w:p>
        </w:tc>
        <w:tc>
          <w:tcPr>
            <w:tcW w:type="dxa" w:w="1234"/>
          </w:tcPr>
          <w:p>
            <w:pPr>
              <w:jc w:val="center"/>
              <w:bidi w:val="1"/>
            </w:pPr>
            <w:r>
              <w:rPr>
                <w:rFonts w:ascii="Arial" w:hAnsi="Arial"/>
                <w:sz w:val="24"/>
              </w:rPr>
              <w:t>0.791</w:t>
            </w:r>
          </w:p>
        </w:tc>
        <w:tc>
          <w:tcPr>
            <w:tcW w:type="dxa" w:w="1234"/>
          </w:tcPr>
          <w:p>
            <w:pPr>
              <w:jc w:val="center"/>
              <w:bidi w:val="1"/>
            </w:pPr>
            <w:r>
              <w:rPr>
                <w:rFonts w:ascii="Arial" w:hAnsi="Arial"/>
                <w:sz w:val="24"/>
              </w:rPr>
              <w:t>0.001</w:t>
            </w:r>
          </w:p>
        </w:tc>
        <w:tc>
          <w:tcPr>
            <w:tcW w:type="dxa" w:w="1234"/>
          </w:tcPr>
          <w:p>
            <w:pPr>
              <w:jc w:val="center"/>
              <w:bidi w:val="1"/>
            </w:pPr>
            <w:r>
              <w:rPr>
                <w:rFonts w:ascii="Arial" w:hAnsi="Arial"/>
                <w:sz w:val="24"/>
              </w:rPr>
              <w:t>ضعيف جداً</w:t>
            </w:r>
          </w:p>
        </w:tc>
        <w:tc>
          <w:tcPr>
            <w:tcW w:type="dxa" w:w="1234"/>
          </w:tcPr>
          <w:p>
            <w:pPr>
              <w:jc w:val="center"/>
              <w:bidi w:val="1"/>
            </w:pPr>
            <w:r>
              <w:rPr>
                <w:rFonts w:ascii="Arial" w:hAnsi="Arial"/>
                <w:sz w:val="24"/>
              </w:rPr>
              <w:t>قبول الفرض الصفري</w:t>
            </w:r>
          </w:p>
        </w:tc>
      </w:tr>
      <w:tr>
        <w:tc>
          <w:tcPr>
            <w:tcW w:type="dxa" w:w="1234"/>
          </w:tcPr>
          <w:p>
            <w:pPr>
              <w:jc w:val="center"/>
              <w:bidi w:val="1"/>
            </w:pPr>
            <w:r>
              <w:rPr>
                <w:rFonts w:ascii="Arial" w:hAnsi="Arial"/>
                <w:sz w:val="24"/>
              </w:rPr>
              <w:t>ف3: نمط×زمن → حل مشكلات</w:t>
            </w:r>
          </w:p>
        </w:tc>
        <w:tc>
          <w:tcPr>
            <w:tcW w:type="dxa" w:w="1234"/>
          </w:tcPr>
          <w:p>
            <w:pPr>
              <w:jc w:val="center"/>
              <w:bidi w:val="1"/>
            </w:pPr>
            <w:r>
              <w:rPr>
                <w:rFonts w:ascii="Arial" w:hAnsi="Arial"/>
                <w:sz w:val="24"/>
              </w:rPr>
              <w:t>حل المشكلات</w:t>
            </w:r>
          </w:p>
        </w:tc>
        <w:tc>
          <w:tcPr>
            <w:tcW w:type="dxa" w:w="1234"/>
          </w:tcPr>
          <w:p>
            <w:pPr>
              <w:jc w:val="center"/>
              <w:bidi w:val="1"/>
            </w:pPr>
            <w:r>
              <w:rPr>
                <w:rFonts w:ascii="Arial" w:hAnsi="Arial"/>
                <w:sz w:val="24"/>
              </w:rPr>
              <w:t>0.02</w:t>
            </w:r>
          </w:p>
        </w:tc>
        <w:tc>
          <w:tcPr>
            <w:tcW w:type="dxa" w:w="1234"/>
          </w:tcPr>
          <w:p>
            <w:pPr>
              <w:jc w:val="center"/>
              <w:bidi w:val="1"/>
            </w:pPr>
            <w:r>
              <w:rPr>
                <w:rFonts w:ascii="Arial" w:hAnsi="Arial"/>
                <w:sz w:val="24"/>
              </w:rPr>
              <w:t>0.894</w:t>
            </w:r>
          </w:p>
        </w:tc>
        <w:tc>
          <w:tcPr>
            <w:tcW w:type="dxa" w:w="1234"/>
          </w:tcPr>
          <w:p>
            <w:pPr>
              <w:jc w:val="center"/>
              <w:bidi w:val="1"/>
            </w:pPr>
            <w:r>
              <w:rPr>
                <w:rFonts w:ascii="Arial" w:hAnsi="Arial"/>
                <w:sz w:val="24"/>
              </w:rPr>
              <w:t>0.000</w:t>
            </w:r>
          </w:p>
        </w:tc>
        <w:tc>
          <w:tcPr>
            <w:tcW w:type="dxa" w:w="1234"/>
          </w:tcPr>
          <w:p>
            <w:pPr>
              <w:jc w:val="center"/>
              <w:bidi w:val="1"/>
            </w:pPr>
            <w:r>
              <w:rPr>
                <w:rFonts w:ascii="Arial" w:hAnsi="Arial"/>
                <w:sz w:val="24"/>
              </w:rPr>
              <w:t>ضعيف جداً</w:t>
            </w:r>
          </w:p>
        </w:tc>
        <w:tc>
          <w:tcPr>
            <w:tcW w:type="dxa" w:w="1234"/>
          </w:tcPr>
          <w:p>
            <w:pPr>
              <w:jc w:val="center"/>
              <w:bidi w:val="1"/>
            </w:pPr>
            <w:r>
              <w:rPr>
                <w:rFonts w:ascii="Arial" w:hAnsi="Arial"/>
                <w:sz w:val="24"/>
              </w:rPr>
              <w:t>قبول الفرض الصفري</w:t>
            </w:r>
          </w:p>
        </w:tc>
      </w:tr>
      <w:tr>
        <w:tc>
          <w:tcPr>
            <w:tcW w:type="dxa" w:w="1234"/>
          </w:tcPr>
          <w:p>
            <w:pPr>
              <w:jc w:val="center"/>
              <w:bidi w:val="1"/>
            </w:pPr>
            <w:r>
              <w:rPr>
                <w:rFonts w:ascii="Arial" w:hAnsi="Arial"/>
                <w:sz w:val="24"/>
              </w:rPr>
              <w:t>ف4: نمط الحشد → تدفق</w:t>
            </w:r>
          </w:p>
        </w:tc>
        <w:tc>
          <w:tcPr>
            <w:tcW w:type="dxa" w:w="1234"/>
          </w:tcPr>
          <w:p>
            <w:pPr>
              <w:jc w:val="center"/>
              <w:bidi w:val="1"/>
            </w:pPr>
            <w:r>
              <w:rPr>
                <w:rFonts w:ascii="Arial" w:hAnsi="Arial"/>
                <w:sz w:val="24"/>
              </w:rPr>
              <w:t>التدفق الذهني</w:t>
            </w:r>
          </w:p>
        </w:tc>
        <w:tc>
          <w:tcPr>
            <w:tcW w:type="dxa" w:w="1234"/>
          </w:tcPr>
          <w:p>
            <w:pPr>
              <w:jc w:val="center"/>
              <w:bidi w:val="1"/>
            </w:pPr>
            <w:r>
              <w:rPr>
                <w:rFonts w:ascii="Arial" w:hAnsi="Arial"/>
                <w:sz w:val="24"/>
              </w:rPr>
              <w:t>5.30</w:t>
            </w:r>
          </w:p>
        </w:tc>
        <w:tc>
          <w:tcPr>
            <w:tcW w:type="dxa" w:w="1234"/>
          </w:tcPr>
          <w:p>
            <w:pPr>
              <w:jc w:val="center"/>
              <w:bidi w:val="1"/>
            </w:pPr>
            <w:r>
              <w:rPr>
                <w:rFonts w:ascii="Arial" w:hAnsi="Arial"/>
                <w:sz w:val="24"/>
              </w:rPr>
              <w:t>0.024</w:t>
            </w:r>
          </w:p>
        </w:tc>
        <w:tc>
          <w:tcPr>
            <w:tcW w:type="dxa" w:w="1234"/>
          </w:tcPr>
          <w:p>
            <w:pPr>
              <w:jc w:val="center"/>
              <w:bidi w:val="1"/>
            </w:pPr>
            <w:r>
              <w:rPr>
                <w:rFonts w:ascii="Arial" w:hAnsi="Arial"/>
                <w:sz w:val="24"/>
              </w:rPr>
              <w:t>0.065</w:t>
            </w:r>
          </w:p>
        </w:tc>
        <w:tc>
          <w:tcPr>
            <w:tcW w:type="dxa" w:w="1234"/>
          </w:tcPr>
          <w:p>
            <w:pPr>
              <w:jc w:val="center"/>
              <w:bidi w:val="1"/>
            </w:pPr>
            <w:r>
              <w:rPr>
                <w:rFonts w:ascii="Arial" w:hAnsi="Arial"/>
                <w:sz w:val="24"/>
              </w:rPr>
              <w:t>متوسط</w:t>
            </w:r>
          </w:p>
        </w:tc>
        <w:tc>
          <w:tcPr>
            <w:tcW w:type="dxa" w:w="1234"/>
          </w:tcPr>
          <w:p>
            <w:pPr>
              <w:jc w:val="center"/>
              <w:bidi w:val="1"/>
            </w:pPr>
            <w:r>
              <w:rPr>
                <w:rFonts w:ascii="Arial" w:hAnsi="Arial"/>
                <w:sz w:val="24"/>
              </w:rPr>
              <w:t>رفض الفرض الصفري</w:t>
            </w:r>
          </w:p>
        </w:tc>
      </w:tr>
      <w:tr>
        <w:tc>
          <w:tcPr>
            <w:tcW w:type="dxa" w:w="1234"/>
          </w:tcPr>
          <w:p>
            <w:pPr>
              <w:jc w:val="center"/>
              <w:bidi w:val="1"/>
            </w:pPr>
            <w:r>
              <w:rPr>
                <w:rFonts w:ascii="Arial" w:hAnsi="Arial"/>
                <w:sz w:val="24"/>
              </w:rPr>
              <w:t>ف5: الزمن → تدفق</w:t>
            </w:r>
          </w:p>
        </w:tc>
        <w:tc>
          <w:tcPr>
            <w:tcW w:type="dxa" w:w="1234"/>
          </w:tcPr>
          <w:p>
            <w:pPr>
              <w:jc w:val="center"/>
              <w:bidi w:val="1"/>
            </w:pPr>
            <w:r>
              <w:rPr>
                <w:rFonts w:ascii="Arial" w:hAnsi="Arial"/>
                <w:sz w:val="24"/>
              </w:rPr>
              <w:t>التدفق الذهني</w:t>
            </w:r>
          </w:p>
        </w:tc>
        <w:tc>
          <w:tcPr>
            <w:tcW w:type="dxa" w:w="1234"/>
          </w:tcPr>
          <w:p>
            <w:pPr>
              <w:jc w:val="center"/>
              <w:bidi w:val="1"/>
            </w:pPr>
            <w:r>
              <w:rPr>
                <w:rFonts w:ascii="Arial" w:hAnsi="Arial"/>
                <w:sz w:val="24"/>
              </w:rPr>
              <w:t>16.62</w:t>
            </w:r>
          </w:p>
        </w:tc>
        <w:tc>
          <w:tcPr>
            <w:tcW w:type="dxa" w:w="1234"/>
          </w:tcPr>
          <w:p>
            <w:pPr>
              <w:jc w:val="center"/>
              <w:bidi w:val="1"/>
            </w:pPr>
            <w:r>
              <w:rPr>
                <w:rFonts w:ascii="Arial" w:hAnsi="Arial"/>
                <w:sz w:val="24"/>
              </w:rPr>
              <w:t>0.000</w:t>
            </w:r>
          </w:p>
        </w:tc>
        <w:tc>
          <w:tcPr>
            <w:tcW w:type="dxa" w:w="1234"/>
          </w:tcPr>
          <w:p>
            <w:pPr>
              <w:jc w:val="center"/>
              <w:bidi w:val="1"/>
            </w:pPr>
            <w:r>
              <w:rPr>
                <w:rFonts w:ascii="Arial" w:hAnsi="Arial"/>
                <w:sz w:val="24"/>
              </w:rPr>
              <w:t>0.179</w:t>
            </w:r>
          </w:p>
        </w:tc>
        <w:tc>
          <w:tcPr>
            <w:tcW w:type="dxa" w:w="1234"/>
          </w:tcPr>
          <w:p>
            <w:pPr>
              <w:jc w:val="center"/>
              <w:bidi w:val="1"/>
            </w:pPr>
            <w:r>
              <w:rPr>
                <w:rFonts w:ascii="Arial" w:hAnsi="Arial"/>
                <w:sz w:val="24"/>
              </w:rPr>
              <w:t>كبير</w:t>
            </w:r>
          </w:p>
        </w:tc>
        <w:tc>
          <w:tcPr>
            <w:tcW w:type="dxa" w:w="1234"/>
          </w:tcPr>
          <w:p>
            <w:pPr>
              <w:jc w:val="center"/>
              <w:bidi w:val="1"/>
            </w:pPr>
            <w:r>
              <w:rPr>
                <w:rFonts w:ascii="Arial" w:hAnsi="Arial"/>
                <w:sz w:val="24"/>
              </w:rPr>
              <w:t>رفض الفرض الصفري</w:t>
            </w:r>
          </w:p>
        </w:tc>
      </w:tr>
      <w:tr>
        <w:tc>
          <w:tcPr>
            <w:tcW w:type="dxa" w:w="1234"/>
          </w:tcPr>
          <w:p>
            <w:pPr>
              <w:jc w:val="center"/>
              <w:bidi w:val="1"/>
            </w:pPr>
            <w:r>
              <w:rPr>
                <w:rFonts w:ascii="Arial" w:hAnsi="Arial"/>
                <w:sz w:val="24"/>
              </w:rPr>
              <w:t>ف6: نمط×زمن → تدفق</w:t>
            </w:r>
          </w:p>
        </w:tc>
        <w:tc>
          <w:tcPr>
            <w:tcW w:type="dxa" w:w="1234"/>
          </w:tcPr>
          <w:p>
            <w:pPr>
              <w:jc w:val="center"/>
              <w:bidi w:val="1"/>
            </w:pPr>
            <w:r>
              <w:rPr>
                <w:rFonts w:ascii="Arial" w:hAnsi="Arial"/>
                <w:sz w:val="24"/>
              </w:rPr>
              <w:t>التدفق الذهني</w:t>
            </w:r>
          </w:p>
        </w:tc>
        <w:tc>
          <w:tcPr>
            <w:tcW w:type="dxa" w:w="1234"/>
          </w:tcPr>
          <w:p>
            <w:pPr>
              <w:jc w:val="center"/>
              <w:bidi w:val="1"/>
            </w:pPr>
            <w:r>
              <w:rPr>
                <w:rFonts w:ascii="Arial" w:hAnsi="Arial"/>
                <w:sz w:val="24"/>
              </w:rPr>
              <w:t>0.07</w:t>
            </w:r>
          </w:p>
        </w:tc>
        <w:tc>
          <w:tcPr>
            <w:tcW w:type="dxa" w:w="1234"/>
          </w:tcPr>
          <w:p>
            <w:pPr>
              <w:jc w:val="center"/>
              <w:bidi w:val="1"/>
            </w:pPr>
            <w:r>
              <w:rPr>
                <w:rFonts w:ascii="Arial" w:hAnsi="Arial"/>
                <w:sz w:val="24"/>
              </w:rPr>
              <w:t>0.789</w:t>
            </w:r>
          </w:p>
        </w:tc>
        <w:tc>
          <w:tcPr>
            <w:tcW w:type="dxa" w:w="1234"/>
          </w:tcPr>
          <w:p>
            <w:pPr>
              <w:jc w:val="center"/>
              <w:bidi w:val="1"/>
            </w:pPr>
            <w:r>
              <w:rPr>
                <w:rFonts w:ascii="Arial" w:hAnsi="Arial"/>
                <w:sz w:val="24"/>
              </w:rPr>
              <w:t>0.001</w:t>
            </w:r>
          </w:p>
        </w:tc>
        <w:tc>
          <w:tcPr>
            <w:tcW w:type="dxa" w:w="1234"/>
          </w:tcPr>
          <w:p>
            <w:pPr>
              <w:jc w:val="center"/>
              <w:bidi w:val="1"/>
            </w:pPr>
            <w:r>
              <w:rPr>
                <w:rFonts w:ascii="Arial" w:hAnsi="Arial"/>
                <w:sz w:val="24"/>
              </w:rPr>
              <w:t>ضعيف جداً</w:t>
            </w:r>
          </w:p>
        </w:tc>
        <w:tc>
          <w:tcPr>
            <w:tcW w:type="dxa" w:w="1234"/>
          </w:tcPr>
          <w:p>
            <w:pPr>
              <w:jc w:val="center"/>
              <w:bidi w:val="1"/>
            </w:pPr>
            <w:r>
              <w:rPr>
                <w:rFonts w:ascii="Arial" w:hAnsi="Arial"/>
                <w:sz w:val="24"/>
              </w:rPr>
              <w:t>قبول الفرض الصفري</w:t>
            </w:r>
          </w:p>
        </w:tc>
      </w:tr>
    </w:tbl>
    <w:p/>
    <w:p>
      <w:pPr>
        <w:jc w:val="right"/>
        <w:bidi w:val="1"/>
      </w:pPr>
      <w:r>
        <w:rPr>
          <w:rFonts w:ascii="Arial" w:hAnsi="Arial"/>
          <w:b/>
          <w:color w:val="003366"/>
          <w:sz w:val="32"/>
        </w:rPr>
        <w:t>ثالثاً: تفسير نتائج البحث ومناقشتها:</w:t>
      </w:r>
    </w:p>
    <w:p/>
    <w:p>
      <w:pPr>
        <w:jc w:val="right"/>
        <w:bidi w:val="1"/>
      </w:pPr>
      <w:r>
        <w:rPr>
          <w:rFonts w:ascii="Arial" w:hAnsi="Arial"/>
          <w:sz w:val="28"/>
        </w:rPr>
        <w:t>أشارت النتائج المبينة مسبقاً إلى ثلاث نتائج رئيسية: (1) وجود فرق دال إحصائياً لصالح النمط التشاركي في كل من حل المشكلات (η² = 0.242) والتدفق الذهني (η² = 0.065)، (2) وجود فرق دال لصالح الزمن المفتوح في التدفق الذهني فقط (η² = 0.179)، (3) عدم وجود تفاعل دال بين المتغيرين.</w:t>
      </w:r>
    </w:p>
    <w:p>
      <w:pPr>
        <w:jc w:val="center"/>
        <w:bidi w:val="1"/>
      </w:pPr>
      <w:r>
        <w:rPr>
          <w:rFonts w:ascii="Arial" w:hAnsi="Arial"/>
          <w:b/>
          <w:sz w:val="36"/>
        </w:rPr>
        <w:t>ويمكن تفسير هذه النتائج في ضوء ما تم تصميمه في التجربة الأساسية (الفصل الثالث) لبيئة التعلم الإلكترونية وفق معايير التصميم، وفي ضوء النظريات التربوية والدراسات السابقة التي تناولها الفصل الثاني، وذلك على النحو التالي:</w:t>
      </w:r>
    </w:p>
    <w:p/>
    <w:p>
      <w:pPr>
        <w:jc w:val="right"/>
        <w:bidi w:val="1"/>
      </w:pPr>
      <w:r>
        <w:rPr>
          <w:rFonts w:ascii="Arial" w:hAnsi="Arial"/>
          <w:sz w:val="28"/>
        </w:rPr>
        <w:t>1) تفسير النتائج المرتبطة بنمط حشد المصادر (التشاركي مقابل التنافسي):</w:t>
      </w:r>
    </w:p>
    <w:p>
      <w:pPr>
        <w:jc w:val="right"/>
        <w:bidi w:val="1"/>
      </w:pPr>
      <w:r>
        <w:rPr>
          <w:rFonts w:ascii="Arial" w:hAnsi="Arial"/>
          <w:sz w:val="28"/>
        </w:rPr>
        <w:t>يُعزى تفوق النمط التشاركي في حل المشكلات الأخلاقية البيوطبية (بحجم أثر كبير η² = 0.242) إلى عدة عوامل مرتبطة بتصميم بيئة التعلم والأسس النظرية:</w:t>
      </w:r>
    </w:p>
    <w:p>
      <w:pPr>
        <w:jc w:val="center"/>
        <w:bidi w:val="1"/>
      </w:pPr>
      <w:r>
        <w:rPr>
          <w:rFonts w:ascii="Arial" w:hAnsi="Arial"/>
          <w:b/>
          <w:sz w:val="36"/>
        </w:rPr>
        <w:t>- تصميم السيناريو التشاركي (المجموعتان الثالثة والرابعة) وفقاً لما ورد في الفصل الثالث بحيث يتعاون الطلاب داخل فرق عمل (3-4 طلاب) مع توزيع أدوار محددة (منسق، باحث رئيسي، محلل أخلاقي، مراجع ومدقق)، واستخدام أدوات Google Docs وGoogle Slides المشتركة للتحرير المتزامن وتجميع الحلول الجزئية. هذا التصميم أتاح توزيع العبء المعرفي للمشكلات البيوطبية المعقدة ومناقشتها جماعياً. وهذا يتفق مع "نظرية المعرفة الموزعة" (Hutchins, 1995) التي تؤكد أن "المعرفة لا تُعالج بواسطة فرد واحد فقط، بل يمكن أن تتوزع بين عدة أفراد أو أدوات تقنية" (Ellis, 2019). كما أكد Hammon وHippner (2012) أن حشد المصادر في بيئات التعلم الاجتماعي يرتبط ارتباطاً وثيقاً بحل المشكلات؛ حيث يمكن للمتعلمين "توسيع نطاق مواردهم ومعارفهم عبر التراجع عن حلول قد تكون غير صائبة واعتماد أفكار جديدة من مصادر خارجية".</w:t>
      </w:r>
    </w:p>
    <w:p>
      <w:pPr>
        <w:jc w:val="right"/>
        <w:bidi w:val="1"/>
      </w:pPr>
      <w:r>
        <w:rPr>
          <w:rFonts w:ascii="Arial" w:hAnsi="Arial"/>
          <w:sz w:val="28"/>
        </w:rPr>
        <w:t>- تصميم المهام الخمس (Milestones) بتسلسل هرمي منطقي (فهم المعايير → تجميع الأمثلة → التحليل المتعمق → المراجعة → الدليل الشامل) بحيث تُبنى استجابات الطلاب في النمط التشاركي على مساهمات وتصويبات أقرانهم المستمرة عبر المستندات المشتركة؛ مما وسع من شبكاتهم المعرفية. وقد أشار الإطار النظري إلى أن التعلم وفقاً لـ"النظرية الاتصالية" (Downes, 2019) ينبثق من "تنوع الآراء ووجهات النظر التي تتكامل معاً"، وأن "القدرة على فهم الروابط والعلاقات بين الأفكار مهارة محورية" (Goldie, 2016). كما أشار Khan وآخرون (2019) إلى أن مجتمعات حشد المصادر تقوم على "دعم الأقران والذكاء الجمعي وتوزيع المعرفة وتبادل الأفكار بين أعضاء الفريق".</w:t>
      </w:r>
    </w:p>
    <w:p>
      <w:pPr>
        <w:jc w:val="right"/>
        <w:bidi w:val="1"/>
      </w:pPr>
      <w:r>
        <w:rPr>
          <w:rFonts w:ascii="Arial" w:hAnsi="Arial"/>
          <w:sz w:val="28"/>
        </w:rPr>
        <w:t>- منح المجموعات التشاركية درجة موحدة مشتركة لأعضاء الفريق الواحد مع تحديد هدف مشترك (بناء دليل جماعي شامل)؛ مما أوجد بيئة دعم اجتماعي آمنة بعيداً عن التوتر الناجم عن لوحة الصدارة الفردية (Leaderboard) في النمط التنافسي. وهذا يتفق مع نموذج Kaufman وآخرون (2011) للدوافع؛ حيث إن الدوافع الداخلية تشمل "الدوافع الاجتماعية النابعة من القيم والالتزام بأهمية التعلم، وتنفيذ المهمة التعليمية التي يكتسبها المتعلم أثناء تبادل المساهمات والتعاون وتلقي التغذية الراجعة". في المقابل، فإن النمط التنافسي — رغم أنه صُمم ليحفز "الاستقلالية في الأداء" و"الدوافع الذاتية والخارجية" (Donlon et al., 2019; Saxton et al., 2020) — إلا أن بعض الطلاب في المراكز المتأخرة فقدوا الحافز، كما لاحظ الباحث ميدانياً أن بعضهم تعمد إخفاء المعلومات عن زملائه لضمان تفوقه الفردي.</w:t>
      </w:r>
    </w:p>
    <w:p>
      <w:pPr>
        <w:jc w:val="right"/>
        <w:bidi w:val="1"/>
      </w:pPr>
      <w:r>
        <w:rPr>
          <w:rFonts w:ascii="Arial" w:hAnsi="Arial"/>
          <w:sz w:val="28"/>
        </w:rPr>
        <w:t>- إتاحة تحمل كل عضو في المجموعة مسؤولية إنجاز المهام المحددة له مع تفاعل إيجابي مع باقي أعضاء المجموعة، وهو ما أكده الإطار النظري من أن "هذا التعاون والتنسيق المعرفي بين أنشطة مجتمع الحشد يساهم في عملية إنتاج معرفة جديدة ومشتركة" (أباصيري، 2024؛ حجازي والعطار، 2024).</w:t>
      </w:r>
    </w:p>
    <w:p>
      <w:pPr>
        <w:jc w:val="right"/>
        <w:bidi w:val="1"/>
      </w:pPr>
      <w:r>
        <w:rPr>
          <w:rFonts w:ascii="Arial" w:hAnsi="Arial"/>
          <w:sz w:val="28"/>
        </w:rPr>
        <w:t>- كون المشكلات الأخلاقية البيوطبية ذات طبيعة غير محددة البنية (Ill-structured)؛ أي أنها "لا تحتوي على حل واحد أو كل المعلومات اللازمة" (Chin &amp; Chia, 2006; Lawson, 2003)، مما جعل حل المشكلات التعاوني — بوصفه "خبرة مشتركة يقوم فيها ثنائي أو مجموعة بسلسلة من العمليات لتغيير الوضع القائم" (Sharma et al., 2022) — أكثر فاعلية من الجهد الفردي.</w:t>
      </w:r>
    </w:p>
    <w:p/>
    <w:p>
      <w:pPr>
        <w:jc w:val="right"/>
        <w:bidi w:val="1"/>
      </w:pPr>
      <w:r>
        <w:rPr>
          <w:rFonts w:ascii="Arial" w:hAnsi="Arial"/>
          <w:sz w:val="28"/>
        </w:rPr>
        <w:t>وتتسق هذه النتيجة مع ما توصلت إليه عدة دراسات سابقة أكدت تفوق النمط التشاركي، منها: دراسة وهبه (2023) التي أظهرت تفوقه في تعزيز مهارات التعلم الرقمي؛ ودراسة وهبه (2024) التي كشفت عن تفوقه في تحسين مهارات إدارة الفصول الافتراضية؛ ودراسة عمار (2023) التي أظهرت تفوقه في تحسين التحصيل؛ ودراسة المعتصم (2024) التي أكدت تفوقه في جودة إنتاج المشروعات وتنمية الذكاء الجمعي؛ ودراسة كرسون وآخرون (2025) في تنمية كفاءات التحول الرقمي؛ ودراسة حجازي والعطار (2024) التي وجدت فرقاً دالاً في الأداء المهاري لصالحه؛ ودراسة مصطفي (2023) في تنمية مهارات حل المشكلات واتخاذ القرارات؛ ودراسة عبد الله وسالم (2024) التي أظهرت أن حشد المصادر المبني على الذكاء الجماعي يعزز مهارات تصميم البحوث والمرونة المعرفية؛ ودراسة خليفة ومحمد (2024) التي أكدت فاعليته في تنمية الاندماج الأكاديمي.</w:t>
      </w:r>
    </w:p>
    <w:p/>
    <w:p>
      <w:pPr>
        <w:jc w:val="right"/>
        <w:bidi w:val="1"/>
      </w:pPr>
      <w:r>
        <w:rPr>
          <w:rFonts w:ascii="Arial" w:hAnsi="Arial"/>
          <w:sz w:val="28"/>
        </w:rPr>
        <w:t>كما تجدر الإشارة إلى أن بعض الدراسات لم تجد فروقاً دالة بين النمطين، مثل دراسة بلال (2024) في اكتساب المفاهيم، ودراسة حسن (2021) التي أظهرت تفوق النمط الهجين، ودراسة خميس وآخرون (2022) التي لم تجد اختلافاً جوهرياً بين النمط الموجه والحر. ويُرجع الباحث هذا الاختلاف إلى طبيعة المتغيرات التابعة وسياق التطبيق؛ حيث إن المشكلات الأخلاقية البيوطبية في البحث الحالي معقدة وغير محددة البنية مما جعل التعاون الجماعي أكثر فاعلية. كما أشار الإطار النظري إلى أن "هناك تضارب بين النتائج، ولم تتفق هذه البحوث على تفضيل نمط عن الآخر" (تسع محاولات على حد علم الباحث)، مما يزيد من أهمية البحث الحالي في حسم هذا الجدل في سياق مهارات حل المشكلات الأخلاقية.</w:t>
      </w:r>
    </w:p>
    <w:p/>
    <w:p>
      <w:pPr>
        <w:jc w:val="right"/>
        <w:bidi w:val="1"/>
      </w:pPr>
      <w:r>
        <w:rPr>
          <w:rFonts w:ascii="Arial" w:hAnsi="Arial"/>
          <w:sz w:val="28"/>
        </w:rPr>
        <w:t>2) تفسير النتائج المرتبطة بالزمن (المفتوح مقابل المحدد):</w:t>
      </w:r>
    </w:p>
    <w:p>
      <w:pPr>
        <w:jc w:val="right"/>
        <w:bidi w:val="1"/>
      </w:pPr>
      <w:r>
        <w:rPr>
          <w:rFonts w:ascii="Arial" w:hAnsi="Arial"/>
          <w:sz w:val="28"/>
        </w:rPr>
        <w:t>أ- بالنسبة لحل المشكلات: لم يُظهر الزمن تأثيراً دالاً (F = 0.07, p = 0.791)، وهذا يتسق مع ما أشار إليه الإطار النظري من وجود تضارب واضح في نتائج الدراسات السابقة حول أثر الزمن، "فلم يتم الوصول إلى أفضلية أحدهما على الآخر"؛ حيث أثبتت بعض الدراسات تفوق الزمن المحدد (أسماء عبد الصمد، 2018؛ Areed et al., 2021)، وبعضها أثبت تفوق الزمن المفتوح (نهاري بن ياسين، 2012؛ هند عباس، 2017)، وبعضها لم يجد فروقاً (أيمن الجوهري، 2012). ويرى الباحث أن حل المشكلات عملية معرفية عميقة تعتمد على نوعية التفكير أكثر من الإطار الزمني.</w:t>
      </w:r>
    </w:p>
    <w:p/>
    <w:p>
      <w:pPr>
        <w:jc w:val="right"/>
        <w:bidi w:val="1"/>
      </w:pPr>
      <w:r>
        <w:rPr>
          <w:rFonts w:ascii="Arial" w:hAnsi="Arial"/>
          <w:sz w:val="28"/>
        </w:rPr>
        <w:t>ب- بالنسبة للتدفق الذهني: أظهر الزمن المفتوح تفوقاً دالاً بحجم أثر كبير (η² = 0.179)، ويُفسر ذلك في ضوء تصميم التجربة:</w:t>
      </w:r>
    </w:p>
    <w:p>
      <w:pPr>
        <w:jc w:val="center"/>
        <w:bidi w:val="1"/>
      </w:pPr>
      <w:r>
        <w:rPr>
          <w:rFonts w:ascii="Arial" w:hAnsi="Arial"/>
          <w:b/>
          <w:sz w:val="36"/>
        </w:rPr>
        <w:t>- في السيناريو التجريبي (الفصل الثالث)، صُمم الزمن المفتوح (المجموعتان الأولى والثالثة) بحيث تُتاح المهام الخمس بمرونة تامة دون تواريخ استحقاق جزئية، مع وجود موعد نهائي واحد فقط في نهاية فترة التجربة (21 يوماً). في المقابل، خضعت مجموعات الزمن المحدد لمواعيد نهائية صارمة (24-60 ساعة لكل مهمة) مع خصم درجات عند التأخير. هذا الفارق الجوهري في التصميم أدى إلى إزالة مصادر التوتر وأتاح مساحة مرنة للتأمل والبحث والتفكير العميق. وهذا يتوافق مع شروط "نظرية التدفق الذهني" (Csikszentmihalyi, 1990) التي تشترط لتحقيق الاستغراق الكامل أن تكون بيئة التعلم خالية من المشتتات المحفزة للتوتر. فكما أوضح بيرو (Biro, 2013) فإن نمط المهمة مفتوح الوقت "ليس له حدود زمنية وإنما نقطة نهايته هي نهاية البرنامج وسلوك المتعلم هو الهدف دون الاهتمام بوقت المهمة".</w:t>
      </w:r>
    </w:p>
    <w:p>
      <w:pPr>
        <w:jc w:val="right"/>
        <w:bidi w:val="1"/>
      </w:pPr>
      <w:r>
        <w:rPr>
          <w:rFonts w:ascii="Arial" w:hAnsi="Arial"/>
          <w:sz w:val="28"/>
        </w:rPr>
        <w:t>- إتاحة الفرصة للمتعلم لمراجعة المعطيات وتعديل الاستجابات وفق سرعته الذاتية؛ مما ساهم في تعميق اندماجه ورفع تركيز الانتباه. وهذا ما أكده أباظة (2011) بأن التدفق يحدث عندما "يندمج الفرد بشكل كامل في أداء المهام، موجهاً أقصى درجات الانتباه والوعي لتحقيقها".</w:t>
      </w:r>
    </w:p>
    <w:p>
      <w:pPr>
        <w:jc w:val="right"/>
        <w:bidi w:val="1"/>
      </w:pPr>
      <w:r>
        <w:rPr>
          <w:rFonts w:ascii="Arial" w:hAnsi="Arial"/>
          <w:sz w:val="28"/>
        </w:rPr>
        <w:t>- في المقابل، فإن الزمن المحدد — رغم أن أسركسيس ودامافيشيوس (Aseriskis &amp; Damasevicius, 2014) أكدا أن من خصائصه "الوضوح والقابلية للتحقق ووضع حد زمني يعمل على زيادة المنافسة" — إلا أنه أحدث توتراً أعاق الاستغراق الكامل، مما يفسر تفوق الزمن المفتوح في التدفق. وهذا يتسق مع ما أكده Nakamura وCsikszentmihalyi (2001) من أن شروط التدفق تشمل "التركيز في اللحظة الحالية والشعور بالسيطرة وانعدام الخوف".</w:t>
      </w:r>
    </w:p>
    <w:p>
      <w:pPr>
        <w:jc w:val="right"/>
        <w:bidi w:val="1"/>
      </w:pPr>
      <w:r>
        <w:rPr>
          <w:rFonts w:ascii="Arial" w:hAnsi="Arial"/>
          <w:sz w:val="28"/>
        </w:rPr>
        <w:t>- وتتسق هذه النتيجة مع ما أشارت إليه دراسة Yang (2019) من أن الزمن "عامل جوهري في حشد المصادر" وأن الوقت الأطول يؤدي إلى جودة أفضل حتى حد معين، ودراسة Schmitz (2018) التي أكدت أن الزمن "عنصر حاسم في تصميم مهمة حشد المصادر".</w:t>
      </w:r>
    </w:p>
    <w:p/>
    <w:p>
      <w:pPr>
        <w:jc w:val="right"/>
        <w:bidi w:val="1"/>
      </w:pPr>
      <w:r>
        <w:rPr>
          <w:rFonts w:ascii="Arial" w:hAnsi="Arial"/>
          <w:sz w:val="28"/>
        </w:rPr>
        <w:t>3) تفسير الأبعاد الثمانية للتدفق الذهني:</w:t>
      </w:r>
    </w:p>
    <w:p>
      <w:pPr>
        <w:jc w:val="right"/>
        <w:bidi w:val="1"/>
      </w:pPr>
      <w:r>
        <w:rPr>
          <w:rFonts w:ascii="Arial" w:hAnsi="Arial"/>
          <w:sz w:val="28"/>
        </w:rPr>
        <w:t>بتحليل نتائج الأبعاد الثمانية لمقياس التدفق الذهني (نموذج أباظة، 2011)، يتضح النمط التالي:</w:t>
      </w:r>
    </w:p>
    <w:p/>
    <w:p>
      <w:pPr>
        <w:jc w:val="right"/>
        <w:bidi w:val="1"/>
      </w:pPr>
      <w:r>
        <w:rPr>
          <w:rFonts w:ascii="Arial" w:hAnsi="Arial"/>
          <w:sz w:val="28"/>
        </w:rPr>
        <w:t>- بُعد "إدارة الوقت والشعور بالمسؤولية": حققت مجموعة (تشاركي×مفتوح) أعلى متوسط (28.65)، ويُعزى ذلك إلى أن الزمن المفتوح مكّن الطلاب من تنظيم وقتهم ذاتياً، بينما عزز التعاون الشعور بالمسؤولية تجاه المجموعة.</w:t>
      </w:r>
    </w:p>
    <w:p/>
    <w:p>
      <w:pPr>
        <w:jc w:val="right"/>
        <w:bidi w:val="1"/>
      </w:pPr>
      <w:r>
        <w:rPr>
          <w:rFonts w:ascii="Arial" w:hAnsi="Arial"/>
          <w:sz w:val="28"/>
        </w:rPr>
        <w:t>- بُعد "تحديد الأهداف بدقة": تفوقت مجموعة (تشاركي×مفتوح) بمتوسط (28.45)، حيث ساعد النقاش التشاركي في تحديد الأهداف بوضوح أكبر دون ضغط الزمن.</w:t>
      </w:r>
    </w:p>
    <w:p/>
    <w:p>
      <w:pPr>
        <w:jc w:val="right"/>
        <w:bidi w:val="1"/>
      </w:pPr>
      <w:r>
        <w:rPr>
          <w:rFonts w:ascii="Arial" w:hAnsi="Arial"/>
          <w:sz w:val="28"/>
        </w:rPr>
        <w:t>- بُعد "النشاط العالي والعمل الجاد": سجلت مجموعة (تشاركي×مفتوح) أعلى متوسط (29.25)، ويُفسر ذلك بأن البيئة التشاركية حفزت الطلاب على المثابرة من خلال التشجيع المتبادل.</w:t>
      </w:r>
    </w:p>
    <w:p/>
    <w:p>
      <w:pPr>
        <w:jc w:val="right"/>
        <w:bidi w:val="1"/>
      </w:pPr>
      <w:r>
        <w:rPr>
          <w:rFonts w:ascii="Arial" w:hAnsi="Arial"/>
          <w:sz w:val="28"/>
        </w:rPr>
        <w:t>- بُعد "الاندماج الكامل في العمل": حققت مجموعة (تشاركي×مفتوح) متوسط (29.15)، وهو يتفق مع نظرية التدفق التي تؤكد أن الاندماج يتحقق في ظل التوازن بين التحدي والمهارة مع غياب القلق.</w:t>
      </w:r>
    </w:p>
    <w:p/>
    <w:p>
      <w:pPr>
        <w:jc w:val="right"/>
        <w:bidi w:val="1"/>
      </w:pPr>
      <w:r>
        <w:rPr>
          <w:rFonts w:ascii="Arial" w:hAnsi="Arial"/>
          <w:sz w:val="28"/>
        </w:rPr>
        <w:t>- بُعد "تركيز الانتباه ومواجهة التحديات": بلغ أعلى متوسط (28.40) لمجموعة (تشاركي×مفتوح)، ويُعزى ذلك إلى أن غياب الضغط الزمني أتاح تركيزاً أعمق على المشكلة.</w:t>
      </w:r>
    </w:p>
    <w:p/>
    <w:p>
      <w:pPr>
        <w:jc w:val="right"/>
        <w:bidi w:val="1"/>
      </w:pPr>
      <w:r>
        <w:rPr>
          <w:rFonts w:ascii="Arial" w:hAnsi="Arial"/>
          <w:sz w:val="28"/>
        </w:rPr>
        <w:t>- بُعد "نسيان الذات والزمان والمكان": سجلت مجموعة (تشاركي×مفتوح) متوسط (29.00)، وهو مؤشر قوي على تحقق حالة التدفق؛ حيث إن الاستغراق في النقاش التشاركي دون قيد زمني أدى لنسيان المحيط.</w:t>
      </w:r>
    </w:p>
    <w:p/>
    <w:p>
      <w:pPr>
        <w:jc w:val="right"/>
        <w:bidi w:val="1"/>
      </w:pPr>
      <w:r>
        <w:rPr>
          <w:rFonts w:ascii="Arial" w:hAnsi="Arial"/>
          <w:sz w:val="28"/>
        </w:rPr>
        <w:t>- بُعد "المتعة والدافعية": حققت مجموعة (تشاركي×مفتوح) متوسط (28.35)، مما يتسق مع "نظرية الدوافع" التي تؤكد أن الدافعية الداخلية تنشأ في بيئة آمنة ومحفزة بعيداً عن ضغوط التنافس والوقت.</w:t>
      </w:r>
    </w:p>
    <w:p/>
    <w:p>
      <w:pPr>
        <w:jc w:val="right"/>
        <w:bidi w:val="1"/>
      </w:pPr>
      <w:r>
        <w:rPr>
          <w:rFonts w:ascii="Arial" w:hAnsi="Arial"/>
          <w:sz w:val="28"/>
        </w:rPr>
        <w:t>- بُعد "الأداء التلقائي واتخاذ القرارات": حققت مجموعة (تشاركي×مفتوح) أعلى متوسط مطلق (30.00 من 35)، ويُفسر ذلك بأن التفاعل المستمر مع الأقران في ظل زمن مفتوح وصل بالطلاب لمرحلة السيولة في الأداء (Automaticity).</w:t>
      </w:r>
    </w:p>
    <w:p/>
    <w:p>
      <w:pPr>
        <w:jc w:val="right"/>
        <w:bidi w:val="1"/>
      </w:pPr>
      <w:r>
        <w:rPr>
          <w:rFonts w:ascii="Arial" w:hAnsi="Arial"/>
          <w:sz w:val="28"/>
        </w:rPr>
        <w:t>والملاحظ عبر الأبعاد الثمانية أن مجموعة (تشاركي×مفتوح) حققت أعلى المتوسطات في جميع الأبعاد، بينما حققت مجموعة (تنافسي×محدد) أدنى المتوسطات، مما يؤكد التأثير الإيجابي المستقل لكل من النمط التشاركي والزمن المفتوح على التدفق الذهني.</w:t>
      </w:r>
    </w:p>
    <w:p/>
    <w:p>
      <w:pPr>
        <w:jc w:val="right"/>
        <w:bidi w:val="1"/>
      </w:pPr>
      <w:r>
        <w:rPr>
          <w:rFonts w:ascii="Arial" w:hAnsi="Arial"/>
          <w:sz w:val="28"/>
        </w:rPr>
        <w:t>4) تفسير استقلال المتغيرات (عدم وجود تفاعل دال إحصائياً):</w:t>
      </w:r>
    </w:p>
    <w:p>
      <w:pPr>
        <w:jc w:val="center"/>
        <w:bidi w:val="1"/>
      </w:pPr>
      <w:r>
        <w:rPr>
          <w:rFonts w:ascii="Arial" w:hAnsi="Arial"/>
          <w:b/>
          <w:sz w:val="36"/>
        </w:rPr>
        <w:t>يعود عدم الدلالة للتفاعل بين (النمط × الزمن) في كلا المتغيرين التابعين إلى طبيعة تصميم الإجراءات التجريبية (الفصل الثالث) التي فصلت مسار تأثير كل متغير بوضوح. فوفقاً لتصميم السيناريوهات الأربعة، كان متغير النمط يُضبط عبر آلية التفاعل بين الطلاب (فردي مقابل جماعي عبر Google Docs/Slides)، بينما كان متغير الزمن يُضبط عبر آلية مستقلة تماماً هي تفعيل/تعطيل مواعيد التسليم (Due Dates) على منصة Google Classroom. هذا الفصل التقني في التصميم يفسر لماذا عمل كل متغير في مساره المستقل: فالنمط التشاركي عمل على توجيه النية السلوكية والتفاعل الاجتماعي نحو إنجاز المهمة (وفقاً لمبادئ نظرية السلوك المخطط - Ajzen, 2020)، بينما ارتبط الزمن المفتوح بتهيئة الجو النفسي الفردي للاندماج. فعمل كل متغير في مساره المستقل دون أن يتداخلا لينتجا أثراً مركباً يختلف عن مجموع أثريهما المستقلين. ويدعم ذلك أن إجراءات ضبط المتغيرات الدخيلة (جدول 28 بالفصل الثالث) ضمنت تثبيت جميع العوامل المشتركة (المحتوى، المهام الخمس، أدوات القياس، التغذية الراجعة) مع تباين فقط في المتغيرين المستقلين. وهذه النتيجة تتسق مع دراسة حجازي والعطار (2024) التي لم تجد تأثيراً للتفاعل بين نمط الحشد وأسلوب البحث على الأداء المهاري.</w:t>
      </w:r>
    </w:p>
    <w:p/>
    <w:p>
      <w:pPr>
        <w:jc w:val="right"/>
        <w:bidi w:val="1"/>
      </w:pPr>
      <w:r>
        <w:rPr>
          <w:rFonts w:ascii="Arial" w:hAnsi="Arial"/>
          <w:b/>
          <w:color w:val="003366"/>
          <w:sz w:val="32"/>
        </w:rPr>
        <w:t>رابعاً: التحليل الكيفي لبيانات البحث:</w:t>
      </w:r>
    </w:p>
    <w:p/>
    <w:p>
      <w:pPr>
        <w:jc w:val="right"/>
        <w:bidi w:val="1"/>
      </w:pPr>
      <w:r>
        <w:rPr>
          <w:rFonts w:ascii="Arial" w:hAnsi="Arial"/>
          <w:sz w:val="28"/>
        </w:rPr>
        <w:t>قام الباحث بالتحليل الكيفي لبيانات البحث لدعم النتائج الكمية السابقة وتعميق فهمها، وذلك من خلال المصادر التالية:</w:t>
      </w:r>
    </w:p>
    <w:p/>
    <w:p>
      <w:pPr>
        <w:jc w:val="right"/>
        <w:bidi w:val="1"/>
      </w:pPr>
      <w:r>
        <w:rPr>
          <w:rFonts w:ascii="Arial" w:hAnsi="Arial"/>
          <w:sz w:val="28"/>
        </w:rPr>
        <w:t>1. بيانات لوحة التحكم ببيئة التعلم الإلكتروني:</w:t>
      </w:r>
    </w:p>
    <w:p>
      <w:pPr>
        <w:jc w:val="right"/>
        <w:bidi w:val="1"/>
      </w:pPr>
      <w:r>
        <w:rPr>
          <w:rFonts w:ascii="Arial" w:hAnsi="Arial"/>
          <w:sz w:val="28"/>
        </w:rPr>
        <w:t>أ- المجموعات التنافسية (المجموعتان الأولى والثانية): بلغ متوسط الإنجاز (69.98%) ومتوسط المهام المتأخرة (0.95 من 5 مهام). واتسم سلوك الطلاب بالسرعة في تقديم الحلول الفردية عبر ملفات Word للوصول للمراكز الأولى في لوحة الصدارة (Leaderboard)، مما أدى لانخفاض دقة بعض المهام وقلة التفاعل المشترك بين الأقران. وقد لاحظ الباحث ميدانياً أن بعض الطلاب في النمط التنافسي تعمدوا إخفاء المعلومات عن زملائهم لضمان تفوقهم الفردي، وهو ما يتعارض مع فلسفة \"حشد المصادر\" القائمة على تشارك المعرفة.</w:t>
      </w:r>
    </w:p>
    <w:p>
      <w:pPr>
        <w:jc w:val="right"/>
        <w:bidi w:val="1"/>
      </w:pPr>
      <w:r>
        <w:rPr>
          <w:rFonts w:ascii="Arial" w:hAnsi="Arial"/>
          <w:sz w:val="28"/>
        </w:rPr>
        <w:t>ب- المجموعات التشاركية (المجموعتان الثالثة والرابعة): حققت إنجازاً بنسبة (81.36%) مع انخفاض ملحوظ في التأخير (0.57 مهمة متأخرة). وبرز لدى هذه المجموعات النقاش الهادف عبر مستندات Google المشتركة لبناء إجابة موحدة ودقيقة للمشكلة البيوطبية، مع تصحيح الأخطاء المتبادل بين أعضاء الفريق قبل التسليم النهائي. ويُلاحظ أن الفارق في الإنجاز بين النمطين (81.36% مقابل 69.98% بفارق 11.38 نقطة مئوية) يدعم النتائج الإحصائية التي أظهرت تفوق النمط التشاركي.</w:t>
      </w:r>
    </w:p>
    <w:p>
      <w:pPr>
        <w:jc w:val="center"/>
        <w:bidi w:val="1"/>
      </w:pPr>
      <w:r>
        <w:rPr>
          <w:rFonts w:ascii="Arial" w:hAnsi="Arial"/>
          <w:b/>
          <w:sz w:val="36"/>
        </w:rPr>
        <w:t>ج- أثر الزمن: انعدم التأخير تماماً لدى طلاب الزمن المفتوح (0.00 مهمة متأخرة) — وذلك لعدم وجود مواعيد استحقاق جزئية أصلاً كما صُمم في الفصل الثالث — بينما ارتفع إلى (1.52 مهمة متأخرة) لدى طلاب الزمن المحدد الذين خضعوا لمواعيد تسليم صارمة (24-60 ساعة لكل مهمة). وكان متوسط الإنجاز أعلى في مجموعات الزمن المفتوح مقارنة بالزمن المحدد، مما يشير إلى أن الضغط الزمني أثر سلباً على جودة الأداء وليس فقط على التدفق الذهني.</w:t>
      </w:r>
    </w:p>
    <w:p/>
    <w:p>
      <w:pPr>
        <w:jc w:val="right"/>
        <w:bidi w:val="1"/>
      </w:pPr>
      <w:r>
        <w:rPr>
          <w:rFonts w:ascii="Arial" w:hAnsi="Arial"/>
          <w:sz w:val="28"/>
        </w:rPr>
        <w:t>2. استطلاع رأي الطلاب واقتباسات نوعية:</w:t>
      </w:r>
    </w:p>
    <w:p>
      <w:pPr>
        <w:jc w:val="right"/>
        <w:bidi w:val="1"/>
      </w:pPr>
      <w:r>
        <w:rPr>
          <w:rFonts w:ascii="Arial" w:hAnsi="Arial"/>
          <w:sz w:val="28"/>
        </w:rPr>
        <w:t>أ- حول النمط التشاركي: أكدت أغلبية التلاميذ أن التشاركية أتاحت فرصة تبادل الأفكار وتصحيح الأخطاء المتبادل قبل التسليم النهائي. فأشار أحد الطلاب: "كنت بحس إن المشكلة أسهل لما بنقسمها على بعض، كل واحد فينا بيشوف جزء مختلف". وذكرت إحدى الطالبات: "لما زميلي صحح لي غلطة في التحليل الأخلاقي، ده خلاني أفكر في المشكلة من زاوية تانية خالص".</w:t>
      </w:r>
    </w:p>
    <w:p>
      <w:pPr>
        <w:jc w:val="right"/>
        <w:bidi w:val="1"/>
      </w:pPr>
      <w:r>
        <w:rPr>
          <w:rFonts w:ascii="Arial" w:hAnsi="Arial"/>
          <w:sz w:val="28"/>
        </w:rPr>
        <w:t>ب- حول النمط التنافسي: أشار بعض التلاميذ إلى أن التنافس دفعهم لبذل جهد مضاعف للحفاظ على ترتيبهم، حيث ذكر أحدهم: "كنت عايز أخلص أول واحد عشان أكون الأول في الترتيب". لكن البعض الآخر ذكر شعوره بالإحباط، حيث قالت إحدى الطالبات: "حسيت إن التنافس خلاني أركز على السرعة مش على إن أفهم المشكلة كويس".</w:t>
      </w:r>
    </w:p>
    <w:p>
      <w:pPr>
        <w:jc w:val="right"/>
        <w:bidi w:val="1"/>
      </w:pPr>
      <w:r>
        <w:rPr>
          <w:rFonts w:ascii="Arial" w:hAnsi="Arial"/>
          <w:sz w:val="28"/>
        </w:rPr>
        <w:t>ج- حول الزمن المفتوح: أكد الطلاب أن غياب الضغط الزمني ساعدهم على التفكير العميق، حيث ذكر أحدهم: "لما مكنش فيه وقت محدد، قدرت أفكر براحتي وأرجع أعدل إجابتي أكتر من مرة".</w:t>
      </w:r>
    </w:p>
    <w:p>
      <w:pPr>
        <w:jc w:val="right"/>
        <w:bidi w:val="1"/>
      </w:pPr>
      <w:r>
        <w:rPr>
          <w:rFonts w:ascii="Arial" w:hAnsi="Arial"/>
          <w:sz w:val="28"/>
        </w:rPr>
        <w:t>د- حول الزمن المحدد: اشتكى طلاب الزمن المحدد من الشعور بـ "التوتر تحت الضغط"، حيث قال أحدهم: "كنت حاسس إن الوقت بيجري ومش قادر أركز".</w:t>
      </w:r>
    </w:p>
    <w:p>
      <w:pPr>
        <w:jc w:val="right"/>
        <w:bidi w:val="1"/>
      </w:pPr>
      <w:r>
        <w:rPr>
          <w:rFonts w:ascii="Arial" w:hAnsi="Arial"/>
          <w:sz w:val="28"/>
        </w:rPr>
        <w:t>هـ- السلبيات والمقترحات: أشار بعض الطلاب إلى مشكلات تقنية تتعلق بسرعة الإنترنت أحياناً. واقترح الأغلبية تبني نمط حشد مصادر "هجين" يجمع بين مميزات التعاون ضمن المجموعات والتنافسية بين المجموعات.</w:t>
      </w:r>
    </w:p>
    <w:p/>
    <w:p>
      <w:pPr>
        <w:jc w:val="right"/>
        <w:bidi w:val="1"/>
      </w:pPr>
      <w:r>
        <w:rPr>
          <w:rFonts w:ascii="Arial" w:hAnsi="Arial"/>
          <w:sz w:val="28"/>
        </w:rPr>
        <w:t>3. ملاحظات الباحث الميدانية:</w:t>
      </w:r>
    </w:p>
    <w:p>
      <w:pPr>
        <w:jc w:val="right"/>
        <w:bidi w:val="1"/>
      </w:pPr>
      <w:r>
        <w:rPr>
          <w:rFonts w:ascii="Arial" w:hAnsi="Arial"/>
          <w:sz w:val="28"/>
        </w:rPr>
        <w:t>لاحظ الباحث خلال التطبيق الميداني أن المجموعات التشاركية كانت أكثر تفاعلاً ونقاشاً حول المشكلات البيوطبية، وأن الطلاب في الزمن المفتوح كانوا أكثر استرخاءً واستمتاعاً بالمهام. كما لوحظ أن بعض الطلاب في النمط التنافسي ذوي المراكز المتأخرة فقدوا الحافز تدريجياً، بينما حافظ جميع أعضاء المجموعات التشاركية على مستوى مشاركة مرتفع طوال التجربة.</w:t>
      </w:r>
    </w:p>
    <w:p/>
    <w:p>
      <w:pPr>
        <w:jc w:val="right"/>
        <w:bidi w:val="1"/>
      </w:pPr>
      <w:r>
        <w:rPr>
          <w:rFonts w:ascii="Arial" w:hAnsi="Arial"/>
          <w:b/>
          <w:color w:val="003366"/>
          <w:sz w:val="32"/>
        </w:rPr>
        <w:t>خامساً: مخرجات البحث:</w:t>
      </w:r>
    </w:p>
    <w:p/>
    <w:p>
      <w:pPr>
        <w:jc w:val="right"/>
        <w:bidi w:val="1"/>
      </w:pPr>
      <w:r>
        <w:rPr>
          <w:rFonts w:ascii="Arial" w:hAnsi="Arial"/>
          <w:sz w:val="28"/>
        </w:rPr>
        <w:t>تم تحقيق أهداف البحث بالتوصل إلى المخرجات التالية:</w:t>
      </w:r>
    </w:p>
    <w:p>
      <w:pPr>
        <w:jc w:val="right"/>
        <w:bidi w:val="1"/>
      </w:pPr>
      <w:r>
        <w:rPr>
          <w:rFonts w:ascii="Arial" w:hAnsi="Arial"/>
          <w:sz w:val="28"/>
        </w:rPr>
        <w:t>1. بيئة تعلم إلكترونية متكاملة قائمة على أنماط حشد المصادر (التنافسي/التشاركي) وزمنه (المحدد/المفتوح)، تتضمن أدوات النقاش والتفاعل ولوحات الصدارة وإدارة المهام.</w:t>
      </w:r>
    </w:p>
    <w:p>
      <w:pPr>
        <w:jc w:val="right"/>
        <w:bidi w:val="1"/>
      </w:pPr>
      <w:r>
        <w:rPr>
          <w:rFonts w:ascii="Arial" w:hAnsi="Arial"/>
          <w:sz w:val="28"/>
        </w:rPr>
        <w:t>2. قائمة معايير تصميم بيئة التعلم القائمة على حشد المصادر، وتكونت من (8) محاور رئيسية و(63) مؤشراً، تم التحقق من صدقها بعرضها على المحكمين.</w:t>
      </w:r>
    </w:p>
    <w:p>
      <w:pPr>
        <w:jc w:val="right"/>
        <w:bidi w:val="1"/>
      </w:pPr>
      <w:r>
        <w:rPr>
          <w:rFonts w:ascii="Arial" w:hAnsi="Arial"/>
          <w:sz w:val="28"/>
        </w:rPr>
        <w:t>3. مقياس موضوعي لمهارات حل المشكلات الأخلاقية البيوطبية لدى طلاب الصف الأول الثانوي، يتكون من (30) سؤالاً موزعة على (4) مهارات فرعية.</w:t>
      </w:r>
    </w:p>
    <w:p>
      <w:pPr>
        <w:jc w:val="right"/>
        <w:bidi w:val="1"/>
      </w:pPr>
      <w:r>
        <w:rPr>
          <w:rFonts w:ascii="Arial" w:hAnsi="Arial"/>
          <w:sz w:val="28"/>
        </w:rPr>
        <w:t>4. مقياس نفسي لأبعاد التدفق الذهني (نموذج أباظة، 2011)، يتكون من (8) أبعاد، متوائم مع بيئات التعلم السحابية.</w:t>
      </w:r>
    </w:p>
    <w:p>
      <w:pPr>
        <w:jc w:val="right"/>
        <w:bidi w:val="1"/>
      </w:pPr>
      <w:r>
        <w:rPr>
          <w:rFonts w:ascii="Arial" w:hAnsi="Arial"/>
          <w:sz w:val="28"/>
        </w:rPr>
        <w:t>5. تحديد النمط والزمن الأفضل: أثبتت النتائج أن النمط التشاركي هو الأفضل لتنمية حل المشكلات والتدفق الذهني، وأن الزمن المفتوح هو الأفضل لتعزيز التدفق الذهني، بينما لم يؤثر الزمن على حل المشكلات.</w:t>
      </w:r>
    </w:p>
    <w:p>
      <w:pPr>
        <w:jc w:val="right"/>
        <w:bidi w:val="1"/>
      </w:pPr>
      <w:r>
        <w:rPr>
          <w:rFonts w:ascii="Arial" w:hAnsi="Arial"/>
          <w:sz w:val="28"/>
        </w:rPr>
        <w:t>6. تحديد أن المجموعة التجريبية (تشاركي × مفتوح) هي المجموعة الأفضل أداءً عبر جميع المقاييس والأبعاد.</w:t>
      </w:r>
    </w:p>
    <w:p>
      <w:pPr>
        <w:jc w:val="right"/>
        <w:bidi w:val="1"/>
      </w:pPr>
      <w:r>
        <w:rPr>
          <w:rFonts w:ascii="Arial" w:hAnsi="Arial"/>
          <w:sz w:val="28"/>
        </w:rPr>
        <w:t>7. نماذج تفاعل الطلاب: تم رصد أنماط تفاعل مختلفة بين المجموعات، حيث اتسم النمط التشاركي بالتفاعل البنائي والتصحيح المتبادل، بينما اتسم النمط التنافسي بالسرعة والجهد الفردي.</w:t>
      </w:r>
    </w:p>
    <w:p/>
    <w:p>
      <w:pPr>
        <w:jc w:val="right"/>
        <w:bidi w:val="1"/>
      </w:pPr>
      <w:r>
        <w:rPr>
          <w:rFonts w:ascii="Arial" w:hAnsi="Arial"/>
          <w:b/>
          <w:color w:val="003366"/>
          <w:sz w:val="32"/>
        </w:rPr>
        <w:t>سادساً: توصيات البحث:</w:t>
      </w:r>
    </w:p>
    <w:p/>
    <w:p>
      <w:pPr>
        <w:jc w:val="right"/>
        <w:bidi w:val="1"/>
      </w:pPr>
      <w:r>
        <w:rPr>
          <w:rFonts w:ascii="Arial" w:hAnsi="Arial"/>
          <w:sz w:val="28"/>
        </w:rPr>
        <w:t>في ضوء ما أسفرت عنه نتائج البحث الحالي ومناقشتها، يوصي الباحث بما يلي:</w:t>
      </w:r>
    </w:p>
    <w:p/>
    <w:p>
      <w:pPr>
        <w:jc w:val="right"/>
        <w:bidi w:val="1"/>
      </w:pPr>
      <w:r>
        <w:rPr>
          <w:rFonts w:ascii="Arial" w:hAnsi="Arial"/>
          <w:sz w:val="28"/>
        </w:rPr>
        <w:t>أ) توصيات للمعلمين والمدرسين:</w:t>
      </w:r>
    </w:p>
    <w:p>
      <w:pPr>
        <w:jc w:val="right"/>
        <w:bidi w:val="1"/>
      </w:pPr>
      <w:r>
        <w:rPr>
          <w:rFonts w:ascii="Arial" w:hAnsi="Arial"/>
          <w:sz w:val="28"/>
        </w:rPr>
        <w:t>1. استخدام نمط حشد المصادر التشاركي عند تصميم أنشطة تعليمية تتطلب مستويات معرفية عليا كالتحليل والتقويم وحل المشكلات.</w:t>
      </w:r>
    </w:p>
    <w:p>
      <w:pPr>
        <w:jc w:val="right"/>
        <w:bidi w:val="1"/>
      </w:pPr>
      <w:r>
        <w:rPr>
          <w:rFonts w:ascii="Arial" w:hAnsi="Arial"/>
          <w:sz w:val="28"/>
        </w:rPr>
        <w:t>2. توظيف استراتيجية الزمن المفتوح عند تصميم أنشطة تهدف للوصول بالمتعلم إلى حالة الاستغراق الكامل والتدفق الذهني.</w:t>
      </w:r>
    </w:p>
    <w:p>
      <w:pPr>
        <w:jc w:val="right"/>
        <w:bidi w:val="1"/>
      </w:pPr>
      <w:r>
        <w:rPr>
          <w:rFonts w:ascii="Arial" w:hAnsi="Arial"/>
          <w:sz w:val="28"/>
        </w:rPr>
        <w:t>3. تنويع استراتيجيات حشد المصادر وعدم الاقتصار على النمط التنافسي فقط، مع مراعاة طبيعة المحتوى والأهداف التعليمية.</w:t>
      </w:r>
    </w:p>
    <w:p>
      <w:pPr>
        <w:jc w:val="right"/>
        <w:bidi w:val="1"/>
      </w:pPr>
      <w:r>
        <w:rPr>
          <w:rFonts w:ascii="Arial" w:hAnsi="Arial"/>
          <w:sz w:val="28"/>
        </w:rPr>
        <w:t>4. مراعاة الفروق الفردية بين الطلاب عند اختيار نمط الحشد والزمن المناسبين.</w:t>
      </w:r>
    </w:p>
    <w:p/>
    <w:p>
      <w:pPr>
        <w:jc w:val="right"/>
        <w:bidi w:val="1"/>
      </w:pPr>
      <w:r>
        <w:rPr>
          <w:rFonts w:ascii="Arial" w:hAnsi="Arial"/>
          <w:sz w:val="28"/>
        </w:rPr>
        <w:t>ب) توصيات لمصممي بيئات التعلم الإلكتروني:</w:t>
      </w:r>
    </w:p>
    <w:p>
      <w:pPr>
        <w:jc w:val="right"/>
        <w:bidi w:val="1"/>
      </w:pPr>
      <w:r>
        <w:rPr>
          <w:rFonts w:ascii="Arial" w:hAnsi="Arial"/>
          <w:sz w:val="28"/>
        </w:rPr>
        <w:t>5. تضمين أدوات التفاعل التشاركي (غرف النقاش، المحادثات الجماعية، التصويبات المتبادلة) في تصميم بيئات التعلم.</w:t>
      </w:r>
    </w:p>
    <w:p>
      <w:pPr>
        <w:jc w:val="right"/>
        <w:bidi w:val="1"/>
      </w:pPr>
      <w:r>
        <w:rPr>
          <w:rFonts w:ascii="Arial" w:hAnsi="Arial"/>
          <w:sz w:val="28"/>
        </w:rPr>
        <w:t>6. الاستعانة بقائمة معايير تصميم بيئة حشد المصادر (8 محاور، 63 مؤشراً) عند تصميم بيئات تعلم تشاركية.</w:t>
      </w:r>
    </w:p>
    <w:p>
      <w:pPr>
        <w:jc w:val="right"/>
        <w:bidi w:val="1"/>
      </w:pPr>
      <w:r>
        <w:rPr>
          <w:rFonts w:ascii="Arial" w:hAnsi="Arial"/>
          <w:sz w:val="28"/>
        </w:rPr>
        <w:t>7. توفير خيارات مرنة للزمن في بيئات التعلم، مع إتاحة وضع الزمن المفتوح للأنشطة التي تستهدف الانغماس والتعمق.</w:t>
      </w:r>
    </w:p>
    <w:p>
      <w:pPr>
        <w:jc w:val="right"/>
        <w:bidi w:val="1"/>
      </w:pPr>
      <w:r>
        <w:rPr>
          <w:rFonts w:ascii="Arial" w:hAnsi="Arial"/>
          <w:sz w:val="28"/>
        </w:rPr>
        <w:t>8. دعم عناصر التدفق الذهني في تصميم البيئة من خلال التغذية الراجعة الفورية والأهداف الواضحة وتوازن التحدي مع المهارة.</w:t>
      </w:r>
    </w:p>
    <w:p/>
    <w:p>
      <w:pPr>
        <w:jc w:val="right"/>
        <w:bidi w:val="1"/>
      </w:pPr>
      <w:r>
        <w:rPr>
          <w:rFonts w:ascii="Arial" w:hAnsi="Arial"/>
          <w:sz w:val="28"/>
        </w:rPr>
        <w:t>ج) توصيات لمخططي المناهج بوزارة التربية والتعليم:</w:t>
      </w:r>
    </w:p>
    <w:p>
      <w:pPr>
        <w:jc w:val="right"/>
        <w:bidi w:val="1"/>
      </w:pPr>
      <w:r>
        <w:rPr>
          <w:rFonts w:ascii="Arial" w:hAnsi="Arial"/>
          <w:sz w:val="28"/>
        </w:rPr>
        <w:t>9. إدراج أنشطة حشد المصادر التشاركي ضمن المناهج الدراسية المطورة، خاصة في مقررات الفلسفة والأخلاق البيوطبية.</w:t>
      </w:r>
    </w:p>
    <w:p>
      <w:pPr>
        <w:jc w:val="right"/>
        <w:bidi w:val="1"/>
      </w:pPr>
      <w:r>
        <w:rPr>
          <w:rFonts w:ascii="Arial" w:hAnsi="Arial"/>
          <w:sz w:val="28"/>
        </w:rPr>
        <w:t>10. تدريب المعلمين على توظيف أنماط حشد المصادر المختلفة في العملية التعليمية.</w:t>
      </w:r>
    </w:p>
    <w:p>
      <w:pPr>
        <w:jc w:val="right"/>
        <w:bidi w:val="1"/>
      </w:pPr>
      <w:r>
        <w:rPr>
          <w:rFonts w:ascii="Arial" w:hAnsi="Arial"/>
          <w:sz w:val="28"/>
        </w:rPr>
        <w:t>11. توفير البنية التحتية التقنية اللازمة لتطبيق بيئات التعلم الإلكتروني القائمة على حشد المصادر في المدارس.</w:t>
      </w:r>
    </w:p>
    <w:p/>
    <w:p>
      <w:pPr>
        <w:jc w:val="right"/>
        <w:bidi w:val="1"/>
      </w:pPr>
      <w:r>
        <w:rPr>
          <w:rFonts w:ascii="Arial" w:hAnsi="Arial"/>
          <w:sz w:val="28"/>
        </w:rPr>
        <w:t>د) توصيات للطلاب:</w:t>
      </w:r>
    </w:p>
    <w:p>
      <w:pPr>
        <w:jc w:val="right"/>
        <w:bidi w:val="1"/>
      </w:pPr>
      <w:r>
        <w:rPr>
          <w:rFonts w:ascii="Arial" w:hAnsi="Arial"/>
          <w:sz w:val="28"/>
        </w:rPr>
        <w:t>12. التفاعل الإيجابي مع بيئة التعلم الإلكتروني والمشاركة الفعالة في الأنشطة التشاركية.</w:t>
      </w:r>
    </w:p>
    <w:p>
      <w:pPr>
        <w:jc w:val="right"/>
        <w:bidi w:val="1"/>
      </w:pPr>
      <w:r>
        <w:rPr>
          <w:rFonts w:ascii="Arial" w:hAnsi="Arial"/>
          <w:sz w:val="28"/>
        </w:rPr>
        <w:t>13. الاستفادة من آراء الأقران وملاحظاتهم في تطوير مهارات حل المشكلات.</w:t>
      </w:r>
    </w:p>
    <w:p>
      <w:pPr>
        <w:jc w:val="right"/>
        <w:bidi w:val="1"/>
      </w:pPr>
      <w:r>
        <w:rPr>
          <w:rFonts w:ascii="Arial" w:hAnsi="Arial"/>
          <w:sz w:val="28"/>
        </w:rPr>
        <w:t>14. إدارة الوقت بفعالية واستثمار فترات الزمن المفتوح في التعمق والتأمل بدلاً من التأجيل.</w:t>
      </w:r>
    </w:p>
    <w:p/>
    <w:p>
      <w:pPr>
        <w:jc w:val="right"/>
        <w:bidi w:val="1"/>
      </w:pPr>
      <w:r>
        <w:rPr>
          <w:rFonts w:ascii="Arial" w:hAnsi="Arial"/>
          <w:sz w:val="28"/>
        </w:rPr>
        <w:t>هـ) توصيات للباحثين:</w:t>
      </w:r>
    </w:p>
    <w:p>
      <w:pPr>
        <w:jc w:val="right"/>
        <w:bidi w:val="1"/>
      </w:pPr>
      <w:r>
        <w:rPr>
          <w:rFonts w:ascii="Arial" w:hAnsi="Arial"/>
          <w:sz w:val="28"/>
        </w:rPr>
        <w:t>15. توسيع نطاق البحث ليشمل متغيرات مستقلة إضافية مثل أساليب التعلم وصعوبة المهام ونوع التغذية الراجعة.</w:t>
      </w:r>
    </w:p>
    <w:p>
      <w:pPr>
        <w:jc w:val="right"/>
        <w:bidi w:val="1"/>
      </w:pPr>
      <w:r>
        <w:rPr>
          <w:rFonts w:ascii="Arial" w:hAnsi="Arial"/>
          <w:sz w:val="28"/>
        </w:rPr>
        <w:t>16. تطبيق البحث على مراحل عمرية ومواد دراسية مختلفة للتحقق من إمكانية تعميم النتائج.</w:t>
      </w:r>
    </w:p>
    <w:p>
      <w:pPr>
        <w:jc w:val="right"/>
        <w:bidi w:val="1"/>
      </w:pPr>
      <w:r>
        <w:rPr>
          <w:rFonts w:ascii="Arial" w:hAnsi="Arial"/>
          <w:sz w:val="28"/>
        </w:rPr>
        <w:t>17. إجراء دراسات نوعية معمقة لفهم العمليات المعرفية الداخلية أثناء حل المشكلات في بيئات حشد المصادر.</w:t>
      </w:r>
    </w:p>
    <w:p/>
    <w:p>
      <w:pPr>
        <w:jc w:val="right"/>
        <w:bidi w:val="1"/>
      </w:pPr>
      <w:r>
        <w:rPr>
          <w:rFonts w:ascii="Arial" w:hAnsi="Arial"/>
          <w:sz w:val="28"/>
        </w:rPr>
        <w:t>و) توصيات عامة:</w:t>
      </w:r>
    </w:p>
    <w:p>
      <w:pPr>
        <w:jc w:val="right"/>
        <w:bidi w:val="1"/>
      </w:pPr>
      <w:r>
        <w:rPr>
          <w:rFonts w:ascii="Arial" w:hAnsi="Arial"/>
          <w:sz w:val="28"/>
        </w:rPr>
        <w:t>18. دمج محفزات التعلم التشاركية ضمن بيئات التعلم بدلاً من الاعتماد الكلي على المحفزات التنافسية المرهقة للطلاب.</w:t>
      </w:r>
    </w:p>
    <w:p>
      <w:pPr>
        <w:jc w:val="right"/>
        <w:bidi w:val="1"/>
      </w:pPr>
      <w:r>
        <w:rPr>
          <w:rFonts w:ascii="Arial" w:hAnsi="Arial"/>
          <w:sz w:val="28"/>
        </w:rPr>
        <w:t>19. مراعاة تطبيق النظريات الخمس (المعرفة الموزعة، الدوافع، الاتصالية، السلوك المخطط، التدفق الذهني) عند تصميم بيئات التعلم الإلكتروني.</w:t>
      </w:r>
    </w:p>
    <w:p>
      <w:pPr>
        <w:jc w:val="right"/>
        <w:bidi w:val="1"/>
      </w:pPr>
      <w:r>
        <w:rPr>
          <w:rFonts w:ascii="Arial" w:hAnsi="Arial"/>
          <w:sz w:val="28"/>
        </w:rPr>
        <w:t>20. إجراء تقييم مستمر لأثر بيئات التعلم على المتغيرات النفسية والمعرفية للطلاب وليس الاكتفاء بالتحصيل فقط.</w:t>
      </w:r>
    </w:p>
    <w:p/>
    <w:p>
      <w:pPr>
        <w:jc w:val="right"/>
        <w:bidi w:val="1"/>
      </w:pPr>
      <w:r>
        <w:rPr>
          <w:rFonts w:ascii="Arial" w:hAnsi="Arial"/>
          <w:b/>
          <w:color w:val="003366"/>
          <w:sz w:val="32"/>
        </w:rPr>
        <w:t>سابعاً: البحوث المقترحة:</w:t>
      </w:r>
    </w:p>
    <w:p/>
    <w:p>
      <w:pPr>
        <w:jc w:val="right"/>
        <w:bidi w:val="1"/>
      </w:pPr>
      <w:r>
        <w:rPr>
          <w:rFonts w:ascii="Arial" w:hAnsi="Arial"/>
          <w:sz w:val="28"/>
        </w:rPr>
        <w:t>على ضوء نتائج وتوصيات البحث الحالي يمكن اقتراح إجراء البحوث التالية:</w:t>
      </w:r>
    </w:p>
    <w:p/>
    <w:p>
      <w:pPr>
        <w:jc w:val="right"/>
        <w:bidi w:val="1"/>
      </w:pPr>
      <w:r>
        <w:rPr>
          <w:rFonts w:ascii="Arial" w:hAnsi="Arial"/>
          <w:sz w:val="28"/>
        </w:rPr>
        <w:t>أ) بحوث تتعلق بأنماط حشد المصادر:</w:t>
      </w:r>
    </w:p>
    <w:p>
      <w:pPr>
        <w:jc w:val="right"/>
        <w:bidi w:val="1"/>
      </w:pPr>
      <w:r>
        <w:rPr>
          <w:rFonts w:ascii="Arial" w:hAnsi="Arial"/>
          <w:sz w:val="28"/>
        </w:rPr>
        <w:t>1. أثر استخدام نمط حشد المصادر الهجين (التشاركي-التنافسي) ببيئات التعلم الإلكترونية على تنمية التفكير الناقد والإبداعي لدى طلاب المرحلة الثانوية.</w:t>
      </w:r>
    </w:p>
    <w:p>
      <w:pPr>
        <w:jc w:val="right"/>
        <w:bidi w:val="1"/>
      </w:pPr>
      <w:r>
        <w:rPr>
          <w:rFonts w:ascii="Arial" w:hAnsi="Arial"/>
          <w:sz w:val="28"/>
        </w:rPr>
        <w:t>2. أثر اختلاف أنماط حشد المصادر (الموجه/الحر) على تنمية الذكاء الجمعي وما وراء المعرفة لدى طلاب المرحلة الجامعية.</w:t>
      </w:r>
    </w:p>
    <w:p>
      <w:pPr>
        <w:jc w:val="right"/>
        <w:bidi w:val="1"/>
      </w:pPr>
      <w:r>
        <w:rPr>
          <w:rFonts w:ascii="Arial" w:hAnsi="Arial"/>
          <w:sz w:val="28"/>
        </w:rPr>
        <w:t>3. التفاعل بين نمط حشد المصادر (داخلي/خارجي) ومحفزات الألعاب وأثره على الاندماج الأكاديمي.</w:t>
      </w:r>
    </w:p>
    <w:p/>
    <w:p>
      <w:pPr>
        <w:jc w:val="right"/>
        <w:bidi w:val="1"/>
      </w:pPr>
      <w:r>
        <w:rPr>
          <w:rFonts w:ascii="Arial" w:hAnsi="Arial"/>
          <w:sz w:val="28"/>
        </w:rPr>
        <w:t>ب) بحوث تتعلق بمتغيرات تابعة أخرى:</w:t>
      </w:r>
    </w:p>
    <w:p>
      <w:pPr>
        <w:jc w:val="right"/>
        <w:bidi w:val="1"/>
      </w:pPr>
      <w:r>
        <w:rPr>
          <w:rFonts w:ascii="Arial" w:hAnsi="Arial"/>
          <w:sz w:val="28"/>
        </w:rPr>
        <w:t>4. أثر بيئات حشد المصادر التشاركية على تنمية مهارات التفكير المنظومي واتخاذ القرارات الأخلاقية.</w:t>
      </w:r>
    </w:p>
    <w:p>
      <w:pPr>
        <w:jc w:val="right"/>
        <w:bidi w:val="1"/>
      </w:pPr>
      <w:r>
        <w:rPr>
          <w:rFonts w:ascii="Arial" w:hAnsi="Arial"/>
          <w:sz w:val="28"/>
        </w:rPr>
        <w:t>5. فاعلية حشد المصادر في تنمية الذكاء الوجداني والتعاطف الأخلاقي لدى طلاب الفلسفة.</w:t>
      </w:r>
    </w:p>
    <w:p>
      <w:pPr>
        <w:jc w:val="right"/>
        <w:bidi w:val="1"/>
      </w:pPr>
      <w:r>
        <w:rPr>
          <w:rFonts w:ascii="Arial" w:hAnsi="Arial"/>
          <w:sz w:val="28"/>
        </w:rPr>
        <w:t>6. أثر حشد المصادر على التعلم ذاتي التوجيه والتنظيم الذاتي للتعلم.</w:t>
      </w:r>
    </w:p>
    <w:p>
      <w:pPr>
        <w:jc w:val="right"/>
        <w:bidi w:val="1"/>
      </w:pPr>
      <w:r>
        <w:rPr>
          <w:rFonts w:ascii="Arial" w:hAnsi="Arial"/>
          <w:sz w:val="28"/>
        </w:rPr>
        <w:t>7. العلاقة بين التدفق الذهني الناتج عن بيئات حشد المصادر والرضا الأكاديمي.</w:t>
      </w:r>
    </w:p>
    <w:p/>
    <w:p>
      <w:pPr>
        <w:jc w:val="right"/>
        <w:bidi w:val="1"/>
      </w:pPr>
      <w:r>
        <w:rPr>
          <w:rFonts w:ascii="Arial" w:hAnsi="Arial"/>
          <w:sz w:val="28"/>
        </w:rPr>
        <w:t>ج) بحوث تتعلق بمتغيرات مستقلة أخرى:</w:t>
      </w:r>
    </w:p>
    <w:p>
      <w:pPr>
        <w:jc w:val="right"/>
        <w:bidi w:val="1"/>
      </w:pPr>
      <w:r>
        <w:rPr>
          <w:rFonts w:ascii="Arial" w:hAnsi="Arial"/>
          <w:sz w:val="28"/>
        </w:rPr>
        <w:t>8. التفاعل بين نمط حشد المصادر وأساليب التعلم (البصري/السمعي/الحركي) وأثره على حل المشكلات.</w:t>
      </w:r>
    </w:p>
    <w:p>
      <w:pPr>
        <w:jc w:val="right"/>
        <w:bidi w:val="1"/>
      </w:pPr>
      <w:r>
        <w:rPr>
          <w:rFonts w:ascii="Arial" w:hAnsi="Arial"/>
          <w:sz w:val="28"/>
        </w:rPr>
        <w:t>9. أثر اختلاف مستوى صعوبة المهام (بسيطة/معقدة) في بيئات حشد المصادر على التدفق الذهني.</w:t>
      </w:r>
    </w:p>
    <w:p>
      <w:pPr>
        <w:jc w:val="right"/>
        <w:bidi w:val="1"/>
      </w:pPr>
      <w:r>
        <w:rPr>
          <w:rFonts w:ascii="Arial" w:hAnsi="Arial"/>
          <w:sz w:val="28"/>
        </w:rPr>
        <w:t>10. التفاعل بين نمط حشد المصادر ونوع التغذية الراجعة (فورية/مؤجلة) على التحصيل والدافعية.</w:t>
      </w:r>
    </w:p>
    <w:p>
      <w:pPr>
        <w:jc w:val="right"/>
        <w:bidi w:val="1"/>
      </w:pPr>
      <w:r>
        <w:rPr>
          <w:rFonts w:ascii="Arial" w:hAnsi="Arial"/>
          <w:sz w:val="28"/>
        </w:rPr>
        <w:t>11. أثر نظام المكافآت (فردي/جماعي) في بيئات حشد المصادر على جودة الحلول المقدمة.</w:t>
      </w:r>
    </w:p>
    <w:p/>
    <w:p>
      <w:pPr>
        <w:jc w:val="right"/>
        <w:bidi w:val="1"/>
      </w:pPr>
      <w:r>
        <w:rPr>
          <w:rFonts w:ascii="Arial" w:hAnsi="Arial"/>
          <w:sz w:val="28"/>
        </w:rPr>
        <w:t>د) بحوث تتعلق بمراحل عمرية ومواد مختلفة:</w:t>
      </w:r>
    </w:p>
    <w:p>
      <w:pPr>
        <w:jc w:val="right"/>
        <w:bidi w:val="1"/>
      </w:pPr>
      <w:r>
        <w:rPr>
          <w:rFonts w:ascii="Arial" w:hAnsi="Arial"/>
          <w:sz w:val="28"/>
        </w:rPr>
        <w:t>12. فاعلية بيئة حشد مصادر تشاركية في مقررات الرياضيات والعلوم وتأثيرها على التحصيل الدراسي والمثابرة لدى تلاميذ المرحلة الإعدادية.</w:t>
      </w:r>
    </w:p>
    <w:p>
      <w:pPr>
        <w:jc w:val="right"/>
        <w:bidi w:val="1"/>
      </w:pPr>
      <w:r>
        <w:rPr>
          <w:rFonts w:ascii="Arial" w:hAnsi="Arial"/>
          <w:sz w:val="28"/>
        </w:rPr>
        <w:t>13. أثر حشد المصادر في تنمية مهارات التعبير الكتابي لدى تلاميذ المرحلة الابتدائية.</w:t>
      </w:r>
    </w:p>
    <w:p>
      <w:pPr>
        <w:jc w:val="right"/>
        <w:bidi w:val="1"/>
      </w:pPr>
      <w:r>
        <w:rPr>
          <w:rFonts w:ascii="Arial" w:hAnsi="Arial"/>
          <w:sz w:val="28"/>
        </w:rPr>
        <w:t>14. فاعلية حشد المصادر في التدريب المهني للمعلمين أثناء الخدمة على استخدام التقنيات الحديثة.</w:t>
      </w:r>
    </w:p>
    <w:p/>
    <w:p>
      <w:pPr>
        <w:jc w:val="right"/>
        <w:bidi w:val="1"/>
      </w:pPr>
      <w:r>
        <w:rPr>
          <w:rFonts w:ascii="Arial" w:hAnsi="Arial"/>
          <w:sz w:val="28"/>
        </w:rPr>
        <w:t>هـ) بحوث تتعلق بمنصات وتقنيات مختلفة:</w:t>
      </w:r>
    </w:p>
    <w:p>
      <w:pPr>
        <w:jc w:val="right"/>
        <w:bidi w:val="1"/>
      </w:pPr>
      <w:r>
        <w:rPr>
          <w:rFonts w:ascii="Arial" w:hAnsi="Arial"/>
          <w:sz w:val="28"/>
        </w:rPr>
        <w:t>15. أثر حشد المصادر عبر تطبيقات التعلم النقال على التدفق الذهني لدى طلاب المرحلة الثانوية.</w:t>
      </w:r>
    </w:p>
    <w:p>
      <w:pPr>
        <w:jc w:val="right"/>
        <w:bidi w:val="1"/>
      </w:pPr>
      <w:r>
        <w:rPr>
          <w:rFonts w:ascii="Arial" w:hAnsi="Arial"/>
          <w:sz w:val="28"/>
        </w:rPr>
        <w:t>16. توظيف تقنيات الذكاء الاصطناعي في تحسين جودة حشد المصادر التعليمي.</w:t>
      </w:r>
    </w:p>
    <w:p>
      <w:pPr>
        <w:jc w:val="right"/>
        <w:bidi w:val="1"/>
      </w:pPr>
      <w:r>
        <w:rPr>
          <w:rFonts w:ascii="Arial" w:hAnsi="Arial"/>
          <w:sz w:val="28"/>
        </w:rPr>
        <w:t>17. فاعلية حشد المصادر في بيئات الواقع الافتراضي (VR) والواقع المعزز (AR) على التعلم التجريبي.</w:t>
      </w:r>
    </w:p>
    <w:p/>
    <w:p>
      <w:pPr>
        <w:jc w:val="right"/>
        <w:bidi w:val="1"/>
      </w:pPr>
      <w:r>
        <w:rPr>
          <w:rFonts w:ascii="Arial" w:hAnsi="Arial"/>
          <w:sz w:val="28"/>
        </w:rPr>
        <w:t>و) بحوث بمناهج بحثية متنوعة:</w:t>
      </w:r>
    </w:p>
    <w:p>
      <w:pPr>
        <w:jc w:val="right"/>
        <w:bidi w:val="1"/>
      </w:pPr>
      <w:r>
        <w:rPr>
          <w:rFonts w:ascii="Arial" w:hAnsi="Arial"/>
          <w:sz w:val="28"/>
        </w:rPr>
        <w:t>18. دراسة طولية لتتبع أثر التدفق الذهني الناتج عن بيئات حشد المصادر على نواتج التعلم خلال عام دراسي كامل.</w:t>
      </w:r>
    </w:p>
    <w:p>
      <w:pPr>
        <w:jc w:val="right"/>
        <w:bidi w:val="1"/>
      </w:pPr>
      <w:r>
        <w:rPr>
          <w:rFonts w:ascii="Arial" w:hAnsi="Arial"/>
          <w:sz w:val="28"/>
        </w:rPr>
        <w:t>19. دراسة نوعية (إثنوجرافية) لتحليل أنماط التفاعل والخطاب داخل مجتمعات حشد المصادر التعليمية.</w:t>
      </w:r>
    </w:p>
    <w:p>
      <w:pPr>
        <w:jc w:val="right"/>
        <w:bidi w:val="1"/>
      </w:pPr>
      <w:r>
        <w:rPr>
          <w:rFonts w:ascii="Arial" w:hAnsi="Arial"/>
          <w:sz w:val="28"/>
        </w:rPr>
        <w:t>20. دراسة مقارنة بين ثقافات مختلفة لأثر حشد المصادر على حل المشكلات الأخلاقية.</w:t>
      </w:r>
    </w:p>
    <w:p/>
    <w:p>
      <w:pPr>
        <w:jc w:val="right"/>
        <w:bidi w:val="1"/>
      </w:pPr>
      <w:r>
        <w:rPr>
          <w:rFonts w:ascii="Arial" w:hAnsi="Arial"/>
          <w:sz w:val="28"/>
        </w:rPr>
        <w:t>ز) بحوث لفئات خاصة:</w:t>
      </w:r>
    </w:p>
    <w:p>
      <w:pPr>
        <w:jc w:val="right"/>
        <w:bidi w:val="1"/>
      </w:pPr>
      <w:r>
        <w:rPr>
          <w:rFonts w:ascii="Arial" w:hAnsi="Arial"/>
          <w:sz w:val="28"/>
        </w:rPr>
        <w:t>21. أثر حشد المصادر التشاركي في تنمية مهارات حل المشكلات لدى الطلاب الموهوبين.</w:t>
      </w:r>
    </w:p>
    <w:p>
      <w:pPr>
        <w:jc w:val="right"/>
        <w:bidi w:val="1"/>
      </w:pPr>
      <w:r>
        <w:rPr>
          <w:rFonts w:ascii="Arial" w:hAnsi="Arial"/>
          <w:sz w:val="28"/>
        </w:rPr>
        <w:t>22. فاعلية بيئات حشد المصادر المكيفة في دعم الطلاب ذوي صعوبات التعلم.</w:t>
      </w:r>
    </w:p>
    <w:p>
      <w:pPr>
        <w:jc w:val="right"/>
        <w:bidi w:val="1"/>
      </w:pPr>
      <w:r>
        <w:rPr>
          <w:rFonts w:ascii="Arial" w:hAnsi="Arial"/>
          <w:sz w:val="28"/>
        </w:rPr>
        <w:t>23. أثر حشد المصادر في تحقيق العدالة التعليمية لطلاب المناطق النائية من خلال التعلم عن بُعد.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