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CRM: System Architecture Document</w:t>
      </w:r>
    </w:p>
    <w:p>
      <w:r>
        <w:rPr/>
        <w:t>Najd National Bank (NNB), Customer Experience Technology. Version 2.4, approved by the Architecture Review Board.</w:t>
      </w:r>
    </w:p>
    <w:p>
      <w:pPr>
        <w:pStyle w:val="Heading1"/>
      </w:pPr>
      <w:r>
        <w:t>1. Purpose and scope</w:t>
      </w:r>
    </w:p>
    <w:p>
      <w:r>
        <w:rPr/>
        <w:t>The Customer Relationship Management system (CRM) holds everything NNB knows about the people it talks to, beyond their accounts: prospects, relationship managers, marketing campaigns and their responses, and customer complaints. Account and transaction data stays in Core Banking; CRM links to it through the Core Banking customer number.</w:t>
      </w:r>
    </w:p>
    <w:p>
      <w:pPr>
        <w:pStyle w:val="Heading1"/>
      </w:pPr>
      <w:r>
        <w:t>2. System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System code</w:t>
            </w:r>
          </w:p>
        </w:tc>
        <w:tc>
          <w:tcPr>
            <w:tcW w:type="dxa" w:w="4320"/>
          </w:tcPr>
          <w:p>
            <w:r>
              <w:rPr/>
              <w:t>crm</w:t>
            </w:r>
          </w:p>
        </w:tc>
      </w:tr>
      <w:tr>
        <w:tc>
          <w:tcPr>
            <w:tcW w:type="dxa" w:w="4320"/>
          </w:tcPr>
          <w:p>
            <w:r>
              <w:rPr/>
              <w:t>Database</w:t>
            </w:r>
          </w:p>
        </w:tc>
        <w:tc>
          <w:tcPr>
            <w:tcW w:type="dxa" w:w="4320"/>
          </w:tcPr>
          <w:p>
            <w:r>
              <w:rPr/>
              <w:t xml:space="preserve">MySQL 8, database </w:t>
            </w:r>
            <w:r>
              <w:rPr>
                <w:rFonts w:ascii="Consolas" w:hAnsi="Consolas"/>
              </w:rPr>
              <w:t>crm</w:t>
            </w:r>
          </w:p>
        </w:tc>
      </w:tr>
      <w:tr>
        <w:tc>
          <w:tcPr>
            <w:tcW w:type="dxa" w:w="4320"/>
          </w:tcPr>
          <w:p>
            <w:r>
              <w:rPr/>
              <w:t>Business owner</w:t>
            </w:r>
          </w:p>
        </w:tc>
        <w:tc>
          <w:tcPr>
            <w:tcW w:type="dxa" w:w="4320"/>
          </w:tcPr>
          <w:p>
            <w:r>
              <w:rPr/>
              <w:t>Head of Customer Experience</w:t>
            </w:r>
          </w:p>
        </w:tc>
      </w:tr>
      <w:tr>
        <w:tc>
          <w:tcPr>
            <w:tcW w:type="dxa" w:w="4320"/>
          </w:tcPr>
          <w:p>
            <w:r>
              <w:rPr/>
              <w:t>Technical owner</w:t>
            </w:r>
          </w:p>
        </w:tc>
        <w:tc>
          <w:tcPr>
            <w:tcW w:type="dxa" w:w="4320"/>
          </w:tcPr>
          <w:p>
            <w:r>
              <w:rPr/>
              <w:t>CRM Applications team (IT)</w:t>
            </w:r>
          </w:p>
        </w:tc>
      </w:tr>
      <w:tr>
        <w:tc>
          <w:tcPr>
            <w:tcW w:type="dxa" w:w="4320"/>
          </w:tcPr>
          <w:p>
            <w:r>
              <w:rPr/>
              <w:t>Availability</w:t>
            </w:r>
          </w:p>
        </w:tc>
        <w:tc>
          <w:tcPr>
            <w:tcW w:type="dxa" w:w="4320"/>
          </w:tcPr>
          <w:p>
            <w:r>
              <w:rPr/>
              <w:t>07:00 to 23:00 for users; nightly jobs between 01:00 and 06:00 Riyadh time</w:t>
            </w:r>
          </w:p>
        </w:tc>
      </w:tr>
      <w:tr>
        <w:tc>
          <w:tcPr>
            <w:tcW w:type="dxa" w:w="4320"/>
          </w:tcPr>
          <w:p>
            <w:r>
              <w:rPr/>
              <w:t>Currency</w:t>
            </w:r>
          </w:p>
        </w:tc>
        <w:tc>
          <w:tcPr>
            <w:tcW w:type="dxa" w:w="4320"/>
          </w:tcPr>
          <w:p>
            <w:r>
              <w:rPr/>
              <w:t>Amounts are in Saudi riyals (SAR)</w:t>
            </w:r>
          </w:p>
        </w:tc>
      </w:tr>
      <w:tr>
        <w:tc>
          <w:tcPr>
            <w:tcW w:type="dxa" w:w="4320"/>
          </w:tcPr>
          <w:p>
            <w:r>
              <w:rPr/>
              <w:t>Data as of</w:t>
            </w:r>
          </w:p>
        </w:tc>
        <w:tc>
          <w:tcPr>
            <w:tcW w:type="dxa" w:w="4320"/>
          </w:tcPr>
          <w:p>
            <w:r>
              <w:rPr/>
              <w:t>The sample extract is as of 31 December 2025</w:t>
            </w:r>
          </w:p>
        </w:tc>
      </w:tr>
    </w:tbl>
    <w:p>
      <w:pPr>
        <w:pStyle w:val="Heading1"/>
      </w:pPr>
      <w:r>
        <w:t>3. Modules</w:t>
      </w:r>
    </w:p>
    <w:p>
      <w:pPr>
        <w:pStyle w:val="ListBullet"/>
      </w:pPr>
      <w:r>
        <w:rPr>
          <w:b/>
        </w:rPr>
        <w:t>Contact management</w:t>
      </w:r>
      <w:r>
        <w:rPr/>
        <w:t xml:space="preserve">: customers and prospects, with their contact details and marketing consent. Table </w:t>
      </w:r>
      <w:r>
        <w:rPr>
          <w:rFonts w:ascii="Consolas" w:hAnsi="Consolas"/>
        </w:rPr>
        <w:t>contacts</w:t>
      </w:r>
      <w:r>
        <w:rPr/>
        <w:t>.</w:t>
      </w:r>
    </w:p>
    <w:p>
      <w:pPr>
        <w:pStyle w:val="ListBullet"/>
      </w:pPr>
      <w:r>
        <w:rPr>
          <w:b/>
        </w:rPr>
        <w:t>Relationship management</w:t>
      </w:r>
      <w:r>
        <w:rPr/>
        <w:t xml:space="preserve">: relationship managers (RMs) and the contacts they look after. Table </w:t>
      </w:r>
      <w:r>
        <w:rPr>
          <w:rFonts w:ascii="Consolas" w:hAnsi="Consolas"/>
        </w:rPr>
        <w:t>relationship_managers</w:t>
      </w:r>
      <w:r>
        <w:rPr/>
        <w:t>.</w:t>
      </w:r>
    </w:p>
    <w:p>
      <w:pPr>
        <w:pStyle w:val="ListBullet"/>
      </w:pPr>
      <w:r>
        <w:rPr>
          <w:b/>
        </w:rPr>
        <w:t>Campaign management</w:t>
      </w:r>
      <w:r>
        <w:rPr/>
        <w:t xml:space="preserve">: marketing campaigns and every tracked response to them. Tables </w:t>
      </w:r>
      <w:r>
        <w:rPr>
          <w:rFonts w:ascii="Consolas" w:hAnsi="Consolas"/>
        </w:rPr>
        <w:t>campaigns</w:t>
      </w:r>
      <w:r>
        <w:rPr/>
        <w:t xml:space="preserve"> and </w:t>
      </w:r>
      <w:r>
        <w:rPr>
          <w:rFonts w:ascii="Consolas" w:hAnsi="Consolas"/>
        </w:rPr>
        <w:t>campaign_responses</w:t>
      </w:r>
      <w:r>
        <w:rPr/>
        <w:t>.</w:t>
      </w:r>
    </w:p>
    <w:p>
      <w:pPr>
        <w:pStyle w:val="ListBullet"/>
      </w:pPr>
      <w:r>
        <w:rPr>
          <w:b/>
        </w:rPr>
        <w:t>Complaints management</w:t>
      </w:r>
      <w:r>
        <w:rPr/>
        <w:t xml:space="preserve">: complaints from all channels, their category, SLA and resolution. Tables </w:t>
      </w:r>
      <w:r>
        <w:rPr>
          <w:rFonts w:ascii="Consolas" w:hAnsi="Consolas"/>
        </w:rPr>
        <w:t>complaints</w:t>
      </w:r>
      <w:r>
        <w:rPr/>
        <w:t xml:space="preserve"> and </w:t>
      </w:r>
      <w:r>
        <w:rPr>
          <w:rFonts w:ascii="Consolas" w:hAnsi="Consolas"/>
        </w:rPr>
        <w:t>complaint_categories</w:t>
      </w:r>
      <w:r>
        <w:rPr/>
        <w:t>.</w:t>
      </w:r>
    </w:p>
    <w:p>
      <w:pPr>
        <w:pStyle w:val="Heading1"/>
      </w:pPr>
      <w:r>
        <w:t>4. Main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Rows (approx.)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/>
              <w:t>contacts</w:t>
            </w:r>
          </w:p>
        </w:tc>
        <w:tc>
          <w:tcPr>
            <w:tcW w:type="dxa" w:w="2160"/>
          </w:tcPr>
          <w:p>
            <w:r>
              <w:rPr/>
              <w:t>Master</w:t>
            </w:r>
          </w:p>
        </w:tc>
        <w:tc>
          <w:tcPr>
            <w:tcW w:type="dxa" w:w="2160"/>
          </w:tcPr>
          <w:p>
            <w:r>
              <w:rPr/>
              <w:t>1,000</w:t>
            </w:r>
          </w:p>
        </w:tc>
        <w:tc>
          <w:tcPr>
            <w:tcW w:type="dxa" w:w="2160"/>
          </w:tcPr>
          <w:p>
            <w:r>
              <w:rPr/>
              <w:t xml:space="preserve">Customers (with </w:t>
            </w:r>
            <w:r>
              <w:rPr>
                <w:rFonts w:ascii="Consolas" w:hAnsi="Consolas"/>
              </w:rPr>
              <w:t>core_customer_no</w:t>
            </w:r>
            <w:r>
              <w:rPr/>
              <w:t>) and prospects (without).</w:t>
            </w:r>
          </w:p>
        </w:tc>
      </w:tr>
      <w:tr>
        <w:tc>
          <w:tcPr>
            <w:tcW w:type="dxa" w:w="2160"/>
          </w:tcPr>
          <w:p>
            <w:r>
              <w:rPr/>
              <w:t>relationship_managers</w:t>
            </w:r>
          </w:p>
        </w:tc>
        <w:tc>
          <w:tcPr>
            <w:tcW w:type="dxa" w:w="2160"/>
          </w:tcPr>
          <w:p>
            <w:r>
              <w:rPr/>
              <w:t>Master</w:t>
            </w:r>
          </w:p>
        </w:tc>
        <w:tc>
          <w:tcPr>
            <w:tcW w:type="dxa" w:w="2160"/>
          </w:tcPr>
          <w:p>
            <w:r>
              <w:rPr/>
              <w:t>15</w:t>
            </w:r>
          </w:p>
        </w:tc>
        <w:tc>
          <w:tcPr>
            <w:tcW w:type="dxa" w:w="2160"/>
          </w:tcPr>
          <w:p>
            <w:r>
              <w:rPr/>
              <w:t>RMs, with their employee number and branch code.</w:t>
            </w:r>
          </w:p>
        </w:tc>
      </w:tr>
      <w:tr>
        <w:tc>
          <w:tcPr>
            <w:tcW w:type="dxa" w:w="2160"/>
          </w:tcPr>
          <w:p>
            <w:r>
              <w:rPr/>
              <w:t>campaigns</w:t>
            </w:r>
          </w:p>
        </w:tc>
        <w:tc>
          <w:tcPr>
            <w:tcW w:type="dxa" w:w="2160"/>
          </w:tcPr>
          <w:p>
            <w:r>
              <w:rPr/>
              <w:t>Master</w:t>
            </w:r>
          </w:p>
        </w:tc>
        <w:tc>
          <w:tcPr>
            <w:tcW w:type="dxa" w:w="2160"/>
          </w:tcPr>
          <w:p>
            <w:r>
              <w:rPr/>
              <w:t>12</w:t>
            </w:r>
          </w:p>
        </w:tc>
        <w:tc>
          <w:tcPr>
            <w:tcW w:type="dxa" w:w="2160"/>
          </w:tcPr>
          <w:p>
            <w:r>
              <w:rPr/>
              <w:t>Campaigns, the product each promotes, channel, dates and budget.</w:t>
            </w:r>
          </w:p>
        </w:tc>
      </w:tr>
      <w:tr>
        <w:tc>
          <w:tcPr>
            <w:tcW w:type="dxa" w:w="2160"/>
          </w:tcPr>
          <w:p>
            <w:r>
              <w:rPr/>
              <w:t>campaign_responses</w:t>
            </w:r>
          </w:p>
        </w:tc>
        <w:tc>
          <w:tcPr>
            <w:tcW w:type="dxa" w:w="2160"/>
          </w:tcPr>
          <w:p>
            <w:r>
              <w:rPr/>
              <w:t>Transactional</w:t>
            </w:r>
          </w:p>
        </w:tc>
        <w:tc>
          <w:tcPr>
            <w:tcW w:type="dxa" w:w="2160"/>
          </w:tcPr>
          <w:p>
            <w:r>
              <w:rPr/>
              <w:t>2,500</w:t>
            </w:r>
          </w:p>
        </w:tc>
        <w:tc>
          <w:tcPr>
            <w:tcW w:type="dxa" w:w="2160"/>
          </w:tcPr>
          <w:p>
            <w:r>
              <w:rPr/>
              <w:t>One row per tracked reaction of a contact to a campaign.</w:t>
            </w:r>
          </w:p>
        </w:tc>
      </w:tr>
      <w:tr>
        <w:tc>
          <w:tcPr>
            <w:tcW w:type="dxa" w:w="2160"/>
          </w:tcPr>
          <w:p>
            <w:r>
              <w:rPr/>
              <w:t>complaints</w:t>
            </w:r>
          </w:p>
        </w:tc>
        <w:tc>
          <w:tcPr>
            <w:tcW w:type="dxa" w:w="2160"/>
          </w:tcPr>
          <w:p>
            <w:r>
              <w:rPr/>
              <w:t>Transactional</w:t>
            </w:r>
          </w:p>
        </w:tc>
        <w:tc>
          <w:tcPr>
            <w:tcW w:type="dxa" w:w="2160"/>
          </w:tcPr>
          <w:p>
            <w:r>
              <w:rPr/>
              <w:t>600 per year</w:t>
            </w:r>
          </w:p>
        </w:tc>
        <w:tc>
          <w:tcPr>
            <w:tcW w:type="dxa" w:w="2160"/>
          </w:tcPr>
          <w:p>
            <w:r>
              <w:rPr/>
              <w:t>Complaints, from opening to resolution.</w:t>
            </w:r>
          </w:p>
        </w:tc>
      </w:tr>
      <w:tr>
        <w:tc>
          <w:tcPr>
            <w:tcW w:type="dxa" w:w="2160"/>
          </w:tcPr>
          <w:p>
            <w:r>
              <w:rPr/>
              <w:t>complaint_categories</w:t>
            </w:r>
          </w:p>
        </w:tc>
        <w:tc>
          <w:tcPr>
            <w:tcW w:type="dxa" w:w="2160"/>
          </w:tcPr>
          <w:p>
            <w:r>
              <w:rPr/>
              <w:t>Reference</w:t>
            </w:r>
          </w:p>
        </w:tc>
        <w:tc>
          <w:tcPr>
            <w:tcW w:type="dxa" w:w="2160"/>
          </w:tcPr>
          <w:p>
            <w:r>
              <w:rPr/>
              <w:t>8</w:t>
            </w:r>
          </w:p>
        </w:tc>
        <w:tc>
          <w:tcPr>
            <w:tcW w:type="dxa" w:w="2160"/>
          </w:tcPr>
          <w:p>
            <w:r>
              <w:rPr/>
              <w:t>Complaint categories with their SLA in calendar days.</w:t>
            </w:r>
          </w:p>
        </w:tc>
      </w:tr>
    </w:tbl>
    <w:p>
      <w:r>
        <w:rPr/>
        <w:t xml:space="preserve">Some relationships are enforced by the application only, not by foreign keys: </w:t>
      </w:r>
      <w:r>
        <w:rPr>
          <w:rFonts w:ascii="Consolas" w:hAnsi="Consolas"/>
        </w:rPr>
        <w:t>contacts.rm_id</w:t>
      </w:r>
      <w:r>
        <w:rPr/>
        <w:t xml:space="preserve"> points at </w:t>
      </w:r>
      <w:r>
        <w:rPr>
          <w:rFonts w:ascii="Consolas" w:hAnsi="Consolas"/>
        </w:rPr>
        <w:t>relationship_managers.rm_id</w:t>
      </w:r>
      <w:r>
        <w:rPr/>
        <w:t xml:space="preserve">, </w:t>
      </w:r>
      <w:r>
        <w:rPr>
          <w:rFonts w:ascii="Consolas" w:hAnsi="Consolas"/>
        </w:rPr>
        <w:t>campaign_responses.contact_id</w:t>
      </w:r>
      <w:r>
        <w:rPr/>
        <w:t xml:space="preserve"> at </w:t>
      </w:r>
      <w:r>
        <w:rPr>
          <w:rFonts w:ascii="Consolas" w:hAnsi="Consolas"/>
        </w:rPr>
        <w:t>contacts.contact_id</w:t>
      </w:r>
      <w:r>
        <w:rPr/>
        <w:t xml:space="preserve">, and </w:t>
      </w:r>
      <w:r>
        <w:rPr>
          <w:rFonts w:ascii="Consolas" w:hAnsi="Consolas"/>
        </w:rPr>
        <w:t>complaints.category_code</w:t>
      </w:r>
      <w:r>
        <w:rPr/>
        <w:t xml:space="preserve"> at </w:t>
      </w:r>
      <w:r>
        <w:rPr>
          <w:rFonts w:ascii="Consolas" w:hAnsi="Consolas"/>
        </w:rPr>
        <w:t>complaint_categories.category_code</w:t>
      </w:r>
      <w:r>
        <w:rPr/>
        <w:t>.</w:t>
      </w:r>
    </w:p>
    <w:p>
      <w:r>
        <w:rPr/>
        <w:t xml:space="preserve">The view </w:t>
      </w:r>
      <w:r>
        <w:rPr>
          <w:rFonts w:ascii="Consolas" w:hAnsi="Consolas"/>
        </w:rPr>
        <w:t>v_open_complaints</w:t>
      </w:r>
      <w:r>
        <w:rPr/>
        <w:t xml:space="preserve"> lists open and in-progress complaints with their category, SLA and age in days; the complaints desk works from it. The procedure </w:t>
      </w:r>
      <w:r>
        <w:rPr>
          <w:rFonts w:ascii="Consolas" w:hAnsi="Consolas"/>
        </w:rPr>
        <w:t>sp_campaign_results(campaign_code)</w:t>
      </w:r>
      <w:r>
        <w:rPr/>
        <w:t xml:space="preserve"> returns a campaign's responses, conversions and converted amount by contact segment; Marketing runs it for the post-campaign review.</w:t>
      </w:r>
    </w:p>
    <w:p>
      <w:pPr>
        <w:pStyle w:val="Heading1"/>
      </w:pPr>
      <w:r>
        <w:t>5. Data flows</w:t>
      </w:r>
    </w:p>
    <w:p>
      <w:pPr>
        <w:pStyle w:val="ListParagraph"/>
      </w:pPr>
      <w:r>
        <w:rPr/>
        <w:t xml:space="preserve">1. </w:t>
      </w:r>
      <w:r>
        <w:rPr>
          <w:b/>
        </w:rPr>
        <w:t>Customer sync from Core Banking.</w:t>
      </w:r>
      <w:r>
        <w:rPr/>
        <w:t xml:space="preserve"> At 01:00 every night (job SYNC-01) CRM receives the customer master from Core Banking. A customer is matched to a contact on </w:t>
      </w:r>
      <w:r>
        <w:rPr>
          <w:rFonts w:ascii="Consolas" w:hAnsi="Consolas"/>
        </w:rPr>
        <w:t>core_customer_no</w:t>
      </w:r>
      <w:r>
        <w:rPr/>
        <w:t>; if none matches, on the national ID; otherwise a new contact is created. Name, national ID, mobile, email, city and segment are overwritten from Core Banking.</w:t>
      </w:r>
    </w:p>
    <w:p>
      <w:pPr>
        <w:pStyle w:val="ListParagraph"/>
      </w:pPr>
      <w:r>
        <w:rPr/>
        <w:t xml:space="preserve">2. </w:t>
      </w:r>
      <w:r>
        <w:rPr>
          <w:b/>
        </w:rPr>
        <w:t>Prospects.</w:t>
      </w:r>
      <w:r>
        <w:rPr/>
        <w:t xml:space="preserve"> Leads from the website and branch walk-ins are created as contacts with </w:t>
      </w:r>
      <w:r>
        <w:rPr>
          <w:rFonts w:ascii="Consolas" w:hAnsi="Consolas"/>
        </w:rPr>
        <w:t>lifecycle_stage = prospect</w:t>
      </w:r>
      <w:r>
        <w:rPr/>
        <w:t xml:space="preserve"> and no customer number. When the person opens an account, the nightly sync sets the customer number and changes the stage to </w:t>
      </w:r>
      <w:r>
        <w:rPr>
          <w:rFonts w:ascii="Consolas" w:hAnsi="Consolas"/>
        </w:rPr>
        <w:t>customer</w:t>
      </w:r>
      <w:r>
        <w:rPr/>
        <w:t>.</w:t>
      </w:r>
    </w:p>
    <w:p>
      <w:pPr>
        <w:pStyle w:val="ListParagraph"/>
      </w:pPr>
      <w:r>
        <w:rPr/>
        <w:t xml:space="preserve">3. </w:t>
      </w:r>
      <w:r>
        <w:rPr>
          <w:b/>
        </w:rPr>
        <w:t>Campaign responses.</w:t>
      </w:r>
      <w:r>
        <w:rPr/>
        <w:t xml:space="preserve"> Responses are imported every night at 03:00 (job CMP-03) from the SMS gateway, the email platform and the mobile app's event stream. Phone campaigns are logged by the call center.</w:t>
      </w:r>
    </w:p>
    <w:p>
      <w:pPr>
        <w:pStyle w:val="ListParagraph"/>
      </w:pPr>
      <w:r>
        <w:rPr/>
        <w:t xml:space="preserve">4. </w:t>
      </w:r>
      <w:r>
        <w:rPr>
          <w:b/>
        </w:rPr>
        <w:t>Complaints.</w:t>
      </w:r>
      <w:r>
        <w:rPr/>
        <w:t xml:space="preserve"> Complaints are logged by branches, the call center, the mobile app and email. Every morning at 06:00 (job CMPL-04) the SLA report goes to Compliance; on the 5th of every month the complaints of regulator-reportable categories are reported to the Saudi Central Bank (SAMA).</w:t>
      </w:r>
    </w:p>
    <w:p>
      <w:pPr>
        <w:pStyle w:val="Heading1"/>
      </w:pPr>
      <w:r>
        <w:t>6. Business rules</w:t>
      </w:r>
    </w:p>
    <w:p>
      <w:pPr>
        <w:pStyle w:val="Heading2"/>
      </w:pPr>
      <w:r>
        <w:t>6.1 Contacts and relationship managers</w:t>
      </w:r>
    </w:p>
    <w:p>
      <w:pPr>
        <w:pStyle w:val="ListBullet"/>
      </w:pPr>
      <w:r>
        <w:rPr>
          <w:rFonts w:ascii="Consolas" w:hAnsi="Consolas"/>
        </w:rPr>
        <w:t>core_customer_no</w:t>
      </w:r>
      <w:r>
        <w:rPr/>
        <w:t xml:space="preserve"> is empty for prospects and is the only link to Core Banking.</w:t>
      </w:r>
    </w:p>
    <w:p>
      <w:pPr>
        <w:pStyle w:val="ListBullet"/>
      </w:pPr>
      <w:r>
        <w:rPr>
          <w:rFonts w:ascii="Consolas" w:hAnsi="Consolas"/>
        </w:rPr>
        <w:t>id_number</w:t>
      </w:r>
      <w:r>
        <w:rPr/>
        <w:t xml:space="preserve"> holds the contact's Saudi national ID (10 digits).</w:t>
      </w:r>
    </w:p>
    <w:p>
      <w:pPr>
        <w:pStyle w:val="ListBullet"/>
      </w:pPr>
      <w:r>
        <w:rPr/>
        <w:t xml:space="preserve">Mobile numbers are stored in local format, </w:t>
      </w:r>
      <w:r>
        <w:rPr>
          <w:rFonts w:ascii="Consolas" w:hAnsi="Consolas"/>
        </w:rPr>
        <w:t>05</w:t>
      </w:r>
      <w:r>
        <w:rPr/>
        <w:t xml:space="preserve"> followed by 8 digits (Core Banking stores the same number as </w:t>
      </w:r>
      <w:r>
        <w:rPr>
          <w:rFonts w:ascii="Consolas" w:hAnsi="Consolas"/>
        </w:rPr>
        <w:t>+9665...</w:t>
      </w:r>
      <w:r>
        <w:rPr/>
        <w:t>).</w:t>
      </w:r>
    </w:p>
    <w:p>
      <w:pPr>
        <w:pStyle w:val="ListBullet"/>
      </w:pPr>
      <w:r>
        <w:rPr/>
        <w:t>Only premium and private customers have a relationship manager (</w:t>
      </w:r>
      <w:r>
        <w:rPr>
          <w:rFonts w:ascii="Consolas" w:hAnsi="Consolas"/>
        </w:rPr>
        <w:t>rm_id</w:t>
      </w:r>
      <w:r>
        <w:rPr/>
        <w:t>); retail customers and prospects have none. An RM who leaves (</w:t>
      </w:r>
      <w:r>
        <w:rPr>
          <w:rFonts w:ascii="Consolas" w:hAnsi="Consolas"/>
        </w:rPr>
        <w:t>is_active = 0</w:t>
      </w:r>
      <w:r>
        <w:rPr/>
        <w:t>) keeps no contacts.</w:t>
      </w:r>
    </w:p>
    <w:p>
      <w:pPr>
        <w:pStyle w:val="ListBullet"/>
      </w:pPr>
      <w:r>
        <w:rPr>
          <w:b/>
        </w:rPr>
        <w:t>Marketing consent.</w:t>
      </w:r>
      <w:r>
        <w:rPr/>
        <w:t xml:space="preserve"> A contact with </w:t>
      </w:r>
      <w:r>
        <w:rPr>
          <w:rFonts w:ascii="Consolas" w:hAnsi="Consolas"/>
        </w:rPr>
        <w:t>marketing_consent = 0</w:t>
      </w:r>
      <w:r>
        <w:rPr/>
        <w:t xml:space="preserve"> must not be targeted by any campaign. Consent is captured at onboarding and changes only on the customer's written request.</w:t>
      </w:r>
    </w:p>
    <w:p>
      <w:pPr>
        <w:pStyle w:val="Heading2"/>
      </w:pPr>
      <w:r>
        <w:t>6.2 Campaigns</w:t>
      </w:r>
    </w:p>
    <w:p>
      <w:pPr>
        <w:pStyle w:val="ListBullet"/>
      </w:pPr>
      <w:r>
        <w:rPr/>
        <w:t xml:space="preserve">Campaign status is </w:t>
      </w:r>
      <w:r>
        <w:rPr>
          <w:rFonts w:ascii="Consolas" w:hAnsi="Consolas"/>
        </w:rPr>
        <w:t>planned</w:t>
      </w:r>
      <w:r>
        <w:rPr/>
        <w:t xml:space="preserve">, </w:t>
      </w:r>
      <w:r>
        <w:rPr>
          <w:rFonts w:ascii="Consolas" w:hAnsi="Consolas"/>
        </w:rPr>
        <w:t>active</w:t>
      </w:r>
      <w:r>
        <w:rPr/>
        <w:t xml:space="preserve"> or </w:t>
      </w:r>
      <w:r>
        <w:rPr>
          <w:rFonts w:ascii="Consolas" w:hAnsi="Consolas"/>
        </w:rPr>
        <w:t>completed</w:t>
      </w:r>
      <w:r>
        <w:rPr/>
        <w:t xml:space="preserve">. Responses are only recorded between </w:t>
      </w:r>
      <w:r>
        <w:rPr>
          <w:rFonts w:ascii="Consolas" w:hAnsi="Consolas"/>
        </w:rPr>
        <w:t>start_date</w:t>
      </w:r>
      <w:r>
        <w:rPr/>
        <w:t xml:space="preserve"> and </w:t>
      </w:r>
      <w:r>
        <w:rPr>
          <w:rFonts w:ascii="Consolas" w:hAnsi="Consolas"/>
        </w:rPr>
        <w:t>end_date</w:t>
      </w:r>
      <w:r>
        <w:rPr/>
        <w:t>.</w:t>
      </w:r>
    </w:p>
    <w:p>
      <w:pPr>
        <w:pStyle w:val="ListBullet"/>
      </w:pPr>
      <w:r>
        <w:rPr/>
        <w:t xml:space="preserve">Response types: </w:t>
      </w:r>
      <w:r>
        <w:rPr>
          <w:rFonts w:ascii="Consolas" w:hAnsi="Consolas"/>
        </w:rPr>
        <w:t>opened</w:t>
      </w:r>
      <w:r>
        <w:rPr/>
        <w:t xml:space="preserve"> (the message was opened), </w:t>
      </w:r>
      <w:r>
        <w:rPr>
          <w:rFonts w:ascii="Consolas" w:hAnsi="Consolas"/>
        </w:rPr>
        <w:t>clicked</w:t>
      </w:r>
      <w:r>
        <w:rPr/>
        <w:t xml:space="preserve"> (a link was followed), </w:t>
      </w:r>
      <w:r>
        <w:rPr>
          <w:rFonts w:ascii="Consolas" w:hAnsi="Consolas"/>
        </w:rPr>
        <w:t>applied</w:t>
      </w:r>
      <w:r>
        <w:rPr/>
        <w:t xml:space="preserve"> (an application was started), </w:t>
      </w:r>
      <w:r>
        <w:rPr>
          <w:rFonts w:ascii="Consolas" w:hAnsi="Consolas"/>
        </w:rPr>
        <w:t>converted</w:t>
      </w:r>
      <w:r>
        <w:rPr/>
        <w:t xml:space="preserve"> (the product was opened within the campaign window) and </w:t>
      </w:r>
      <w:r>
        <w:rPr>
          <w:rFonts w:ascii="Consolas" w:hAnsi="Consolas"/>
        </w:rPr>
        <w:t>opted_out</w:t>
      </w:r>
      <w:r>
        <w:rPr/>
        <w:t xml:space="preserve"> (the contact asked for no more messages about this campaign).</w:t>
      </w:r>
    </w:p>
    <w:p>
      <w:pPr>
        <w:pStyle w:val="ListBullet"/>
      </w:pPr>
      <w:r>
        <w:rPr>
          <w:rFonts w:ascii="Consolas" w:hAnsi="Consolas"/>
        </w:rPr>
        <w:t>target_segment</w:t>
      </w:r>
      <w:r>
        <w:rPr/>
        <w:t xml:space="preserve"> is the segment the offer was designed for; empty means all segments.</w:t>
      </w:r>
    </w:p>
    <w:p>
      <w:pPr>
        <w:pStyle w:val="ListBullet"/>
      </w:pPr>
      <w:r>
        <w:rPr>
          <w:b/>
        </w:rPr>
        <w:t>Conversion.</w:t>
      </w:r>
      <w:r>
        <w:rPr/>
        <w:t xml:space="preserve"> A conversion is a response of type </w:t>
      </w:r>
      <w:r>
        <w:rPr>
          <w:rFonts w:ascii="Consolas" w:hAnsi="Consolas"/>
        </w:rPr>
        <w:t>converted</w:t>
      </w:r>
      <w:r>
        <w:rPr/>
        <w:t xml:space="preserve">. </w:t>
      </w:r>
      <w:r>
        <w:rPr>
          <w:rFonts w:ascii="Consolas" w:hAnsi="Consolas"/>
        </w:rPr>
        <w:t>converted_amount_sar</w:t>
      </w:r>
      <w:r>
        <w:rPr/>
        <w:t xml:space="preserve"> is the amount deposited (savings, term deposits), financed (personal finance) or the credit limit granted (credit cards); it is empty for every other response type.</w:t>
      </w:r>
    </w:p>
    <w:p>
      <w:pPr>
        <w:pStyle w:val="ListBullet"/>
      </w:pPr>
      <w:r>
        <w:rPr>
          <w:b/>
        </w:rPr>
        <w:t>Campaign conversion rate</w:t>
      </w:r>
      <w:r>
        <w:rPr/>
        <w:t xml:space="preserve"> = conversions / distinct contacts that responded to the campaign.</w:t>
      </w:r>
    </w:p>
    <w:p>
      <w:pPr>
        <w:pStyle w:val="ListBullet"/>
      </w:pPr>
      <w:r>
        <w:rPr>
          <w:b/>
        </w:rPr>
        <w:t>Cost per conversion</w:t>
      </w:r>
      <w:r>
        <w:rPr/>
        <w:t xml:space="preserve"> = campaign </w:t>
      </w:r>
      <w:r>
        <w:rPr>
          <w:rFonts w:ascii="Consolas" w:hAnsi="Consolas"/>
        </w:rPr>
        <w:t>budget_sar</w:t>
      </w:r>
      <w:r>
        <w:rPr/>
        <w:t xml:space="preserve"> / conversions.</w:t>
      </w:r>
    </w:p>
    <w:p>
      <w:pPr>
        <w:pStyle w:val="Heading2"/>
      </w:pPr>
      <w:r>
        <w:t>6.3 Complaints</w:t>
      </w:r>
    </w:p>
    <w:p>
      <w:pPr>
        <w:pStyle w:val="ListBullet"/>
      </w:pPr>
      <w:r>
        <w:rPr/>
        <w:t xml:space="preserve">Complaint status is </w:t>
      </w:r>
      <w:r>
        <w:rPr>
          <w:rFonts w:ascii="Consolas" w:hAnsi="Consolas"/>
        </w:rPr>
        <w:t>open</w:t>
      </w:r>
      <w:r>
        <w:rPr/>
        <w:t xml:space="preserve">, </w:t>
      </w:r>
      <w:r>
        <w:rPr>
          <w:rFonts w:ascii="Consolas" w:hAnsi="Consolas"/>
        </w:rPr>
        <w:t>in_progress</w:t>
      </w:r>
      <w:r>
        <w:rPr/>
        <w:t xml:space="preserve">, </w:t>
      </w:r>
      <w:r>
        <w:rPr>
          <w:rFonts w:ascii="Consolas" w:hAnsi="Consolas"/>
        </w:rPr>
        <w:t>resolved</w:t>
      </w:r>
      <w:r>
        <w:rPr/>
        <w:t xml:space="preserve"> (a resolution was given to the customer) or </w:t>
      </w:r>
      <w:r>
        <w:rPr>
          <w:rFonts w:ascii="Consolas" w:hAnsi="Consolas"/>
        </w:rPr>
        <w:t>closed</w:t>
      </w:r>
      <w:r>
        <w:rPr/>
        <w:t xml:space="preserve"> (the customer confirmed, or 7 days passed after the resolution without a reply). Resolved and closed complaints both have </w:t>
      </w:r>
      <w:r>
        <w:rPr>
          <w:rFonts w:ascii="Consolas" w:hAnsi="Consolas"/>
        </w:rPr>
        <w:t>resolved_on</w:t>
      </w:r>
      <w:r>
        <w:rPr/>
        <w:t xml:space="preserve"> set.</w:t>
      </w:r>
    </w:p>
    <w:p>
      <w:pPr>
        <w:pStyle w:val="ListBullet"/>
      </w:pPr>
      <w:r>
        <w:rPr>
          <w:b/>
        </w:rPr>
        <w:t>SLA.</w:t>
      </w:r>
      <w:r>
        <w:rPr/>
        <w:t xml:space="preserve"> Each category has an SLA in calendar days (</w:t>
      </w:r>
      <w:r>
        <w:rPr>
          <w:rFonts w:ascii="Consolas" w:hAnsi="Consolas"/>
        </w:rPr>
        <w:t>complaint_categories.sla_days</w:t>
      </w:r>
      <w:r>
        <w:rPr/>
        <w:t xml:space="preserve">), from 2 days for ATM complaints to 15 days for staff and branch service. A complaint </w:t>
      </w:r>
      <w:r>
        <w:rPr>
          <w:b/>
        </w:rPr>
        <w:t>breaches its SLA</w:t>
      </w:r>
      <w:r>
        <w:rPr/>
        <w:t xml:space="preserve"> when </w:t>
      </w:r>
      <w:r>
        <w:rPr>
          <w:rFonts w:ascii="Consolas" w:hAnsi="Consolas"/>
        </w:rPr>
        <w:t>resolved_on - opened_on</w:t>
      </w:r>
      <w:r>
        <w:rPr/>
        <w:t xml:space="preserve"> is more than </w:t>
      </w:r>
      <w:r>
        <w:rPr>
          <w:rFonts w:ascii="Consolas" w:hAnsi="Consolas"/>
        </w:rPr>
        <w:t>sla_days</w:t>
      </w:r>
      <w:r>
        <w:rPr/>
        <w:t xml:space="preserve">, or when it is still open and older than </w:t>
      </w:r>
      <w:r>
        <w:rPr>
          <w:rFonts w:ascii="Consolas" w:hAnsi="Consolas"/>
        </w:rPr>
        <w:t>sla_days</w:t>
      </w:r>
      <w:r>
        <w:rPr/>
        <w:t xml:space="preserve"> on the reporting date.</w:t>
      </w:r>
    </w:p>
    <w:p>
      <w:pPr>
        <w:pStyle w:val="ListBullet"/>
      </w:pPr>
      <w:r>
        <w:rPr/>
        <w:t xml:space="preserve">Priority is </w:t>
      </w:r>
      <w:r>
        <w:rPr>
          <w:rFonts w:ascii="Consolas" w:hAnsi="Consolas"/>
        </w:rPr>
        <w:t>high</w:t>
      </w:r>
      <w:r>
        <w:rPr/>
        <w:t xml:space="preserve">, </w:t>
      </w:r>
      <w:r>
        <w:rPr>
          <w:rFonts w:ascii="Consolas" w:hAnsi="Consolas"/>
        </w:rPr>
        <w:t>normal</w:t>
      </w:r>
      <w:r>
        <w:rPr/>
        <w:t xml:space="preserve"> or </w:t>
      </w:r>
      <w:r>
        <w:rPr>
          <w:rFonts w:ascii="Consolas" w:hAnsi="Consolas"/>
        </w:rPr>
        <w:t>low</w:t>
      </w:r>
      <w:r>
        <w:rPr/>
        <w:t>. A high-priority complaint is escalated to the branch manager within 24 hours.</w:t>
      </w:r>
    </w:p>
    <w:p>
      <w:pPr>
        <w:pStyle w:val="ListBullet"/>
      </w:pPr>
      <w:r>
        <w:rPr/>
        <w:t xml:space="preserve">Categories with </w:t>
      </w:r>
      <w:r>
        <w:rPr>
          <w:rFonts w:ascii="Consolas" w:hAnsi="Consolas"/>
        </w:rPr>
        <w:t>regulator_reportable = 1</w:t>
      </w:r>
      <w:r>
        <w:rPr/>
        <w:t xml:space="preserve"> are included in the monthly SAMA report.</w:t>
      </w:r>
    </w:p>
    <w:p>
      <w:pPr>
        <w:pStyle w:val="Heading1"/>
      </w:pPr>
      <w:r>
        <w:t>7. Personal data</w:t>
      </w:r>
    </w:p>
    <w:p>
      <w:r>
        <w:rPr/>
        <w:t>CRM holds personal data protected under the Personal Data Protection Law (PDPL): names, national IDs, mobile numbers and email addresses of contacts and of RMs. Marketing may only use contacts with consent; exports outside CRM need approval from the Data Protection Officer.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CRM: System Architecture Document</dc:title>
  <dc:subject/>
  <dc:creator>DAWAM samples</dc:creator>
  <cp:keywords/>
  <dc:description>generated by python-docx</dc:description>
  <cp:lastModifiedBy>DAWAM samples</cp:lastModifiedBy>
  <cp:revision>1</cp:revision>
  <dcterms:created xsi:type="dcterms:W3CDTF">2025-01-01T00:00:00Z</dcterms:created>
  <dcterms:modified xsi:type="dcterms:W3CDTF">2025-01-01T00:00:00Z</dcterms:modified>
  <cp:category/>
  <cp:lastPrinted>2025-01-01T00:00:00Z</cp:lastPrinted>
</cp:coreProperties>
</file>