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upplementary-material"/>
    <w:p>
      <w:pPr>
        <w:pStyle w:val="Heading1"/>
      </w:pPr>
      <w:r>
        <w:t xml:space="preserve">Supplementary Material</w:t>
      </w:r>
    </w:p>
    <w:bookmarkStart w:id="20" w:name="s1.-evidence-hierarchy"/>
    <w:p>
      <w:pPr>
        <w:pStyle w:val="Heading2"/>
      </w:pPr>
      <w:r>
        <w:t xml:space="preserve">S1. Evidence hierarchy</w:t>
      </w:r>
    </w:p>
    <w:p>
      <w:pPr>
        <w:pStyle w:val="FirstParagraph"/>
      </w:pPr>
      <w:r>
        <w:t xml:space="preserve">Primary evidence is the five-fold expanding temporal development evaluation. The 1,013-row Locked Registry Evaluation Set is secondary historical benchmark evidence and is not described as a newly untouched confirmatory holdout.</w:t>
      </w:r>
    </w:p>
    <w:bookmarkEnd w:id="20"/>
    <w:bookmarkStart w:id="21" w:name="s2.-frozen-model-roles-and-thresholds"/>
    <w:p>
      <w:pPr>
        <w:pStyle w:val="Heading2"/>
      </w:pPr>
      <w:r>
        <w:t xml:space="preserve">S2. Frozen model roles and thresholds</w:t>
      </w:r>
    </w:p>
    <w:p>
      <w:pPr>
        <w:pStyle w:val="Compact"/>
        <w:numPr>
          <w:ilvl w:val="0"/>
          <w:numId w:val="1001"/>
        </w:numPr>
      </w:pPr>
      <w:r>
        <w:t xml:space="preserve">CatBoost: deployment-aligned primary classifier; Platt calibrator; frozen threshold 0.1000.</w:t>
      </w:r>
    </w:p>
    <w:p>
      <w:pPr>
        <w:pStyle w:val="Compact"/>
        <w:numPr>
          <w:ilvl w:val="0"/>
          <w:numId w:val="1001"/>
        </w:numPr>
      </w:pPr>
      <w:r>
        <w:t xml:space="preserve">Random Forest: development PR-AUC sensitivity comparator; Platt calibrator; frozen threshold 0.1050.</w:t>
      </w:r>
    </w:p>
    <w:p>
      <w:pPr>
        <w:pStyle w:val="Compact"/>
        <w:numPr>
          <w:ilvl w:val="0"/>
          <w:numId w:val="1001"/>
        </w:numPr>
      </w:pPr>
      <w:r>
        <w:t xml:space="preserve">Severity point baseline: conditional median.</w:t>
      </w:r>
    </w:p>
    <w:p>
      <w:pPr>
        <w:pStyle w:val="Compact"/>
        <w:numPr>
          <w:ilvl w:val="0"/>
          <w:numId w:val="1001"/>
        </w:numPr>
      </w:pPr>
      <w:r>
        <w:t xml:space="preserve">Quantile/CQR engine: LightGBM quantile models at q0.025, q0.05, q0.10, q0.50, q0.90, q0.95, q0.975.</w:t>
      </w:r>
    </w:p>
    <w:bookmarkEnd w:id="21"/>
    <w:bookmarkStart w:id="22" w:name="Xd3c4cf691a4826bec30c597418a898d7bf653f4"/>
    <w:p>
      <w:pPr>
        <w:pStyle w:val="Heading2"/>
      </w:pPr>
      <w:r>
        <w:t xml:space="preserve">S3. Full capacity-constrained operational triage [SIMULATED SCENARIO]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880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Delays captured 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High-severity 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Delay days captured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Delay-days ratio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x q95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76.8%</w:t>
            </w:r>
          </w:p>
        </w:tc>
      </w:tr>
    </w:tbl>
    <w:p>
      <w:pPr>
        <w:pStyle w:val="BodyText"/>
      </w:pPr>
      <w:r>
        <w:t xml:space="preserve">All values above are retrospective simulated prioritization outcomes. No intervention was delivered and no causal or realized-savings claim is made.</w:t>
      </w:r>
    </w:p>
    <w:bookmarkEnd w:id="22"/>
    <w:bookmarkStart w:id="23" w:name="s4.-locked-cqr-exact-intervals"/>
    <w:p>
      <w:pPr>
        <w:pStyle w:val="Heading2"/>
      </w:pPr>
      <w:r>
        <w:t xml:space="preserve">S4. Locked CQR exact intervals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95% Clopper-Pearson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width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57.43-81.48%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32.55 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81.90-97.28%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46.27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38.38 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61/61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94.13-100.00%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53.64 d</w:t>
            </w:r>
          </w:p>
        </w:tc>
      </w:tr>
    </w:tbl>
    <w:bookmarkEnd w:id="23"/>
    <w:bookmarkStart w:id="24" w:name="s5.-reproducibility-identifiers"/>
    <w:p>
      <w:pPr>
        <w:pStyle w:val="Heading2"/>
      </w:pPr>
      <w:r>
        <w:t xml:space="preserve">S5. Reproducibility identifiers</w:t>
      </w:r>
    </w:p>
    <w:p>
      <w:pPr>
        <w:pStyle w:val="Compact"/>
        <w:numPr>
          <w:ilvl w:val="0"/>
          <w:numId w:val="1002"/>
        </w:numPr>
      </w:pPr>
      <w:r>
        <w:t xml:space="preserve">Canonical dataset SHA-256:</w:t>
      </w:r>
      <w:r>
        <w:t xml:space="preserve"> </w:t>
      </w:r>
      <w:r>
        <w:rPr>
          <w:rStyle w:val="VerbatimChar"/>
        </w:rPr>
        <w:t xml:space="preserve">918b992dd3e8d4b64d2a727b2c4ea607603d0c58f19484e73f7b78528c6a8673</w:t>
      </w:r>
    </w:p>
    <w:p>
      <w:pPr>
        <w:pStyle w:val="Compact"/>
        <w:numPr>
          <w:ilvl w:val="0"/>
          <w:numId w:val="1002"/>
        </w:numPr>
      </w:pPr>
      <w:r>
        <w:t xml:space="preserve">Final evaluation freeze SHA-256:</w:t>
      </w:r>
      <w:r>
        <w:t xml:space="preserve"> </w:t>
      </w:r>
      <w:r>
        <w:rPr>
          <w:rStyle w:val="VerbatimChar"/>
        </w:rPr>
        <w:t xml:space="preserve">631F1FA4241FBE697B46D9658B8720D2CE13CFB5A9F65E32C7532F8A1F6CD21A</w:t>
      </w:r>
    </w:p>
    <w:p>
      <w:pPr>
        <w:pStyle w:val="Compact"/>
        <w:numPr>
          <w:ilvl w:val="0"/>
          <w:numId w:val="1002"/>
        </w:numPr>
      </w:pPr>
      <w:r>
        <w:t xml:space="preserve">Locked benchmark manifest SHA-256:</w:t>
      </w:r>
      <w:r>
        <w:t xml:space="preserve"> </w:t>
      </w:r>
      <w:r>
        <w:rPr>
          <w:rStyle w:val="VerbatimChar"/>
        </w:rPr>
        <w:t xml:space="preserve">62BE80CE9BC977767BC983EDABF61DAA23609A1801251F4E93CFA9693EBDD9AB</w:t>
      </w:r>
    </w:p>
    <w:p>
      <w:pPr>
        <w:pStyle w:val="Compact"/>
        <w:numPr>
          <w:ilvl w:val="0"/>
          <w:numId w:val="1002"/>
        </w:numPr>
      </w:pPr>
      <w:r>
        <w:t xml:space="preserve">Frozen integrity tests: 26/26 passed.</w:t>
      </w:r>
    </w:p>
    <w:bookmarkEnd w:id="24"/>
    <w:bookmarkStart w:id="25" w:name="s6.-priority-claim-boundary"/>
    <w:p>
      <w:pPr>
        <w:pStyle w:val="Heading2"/>
      </w:pPr>
      <w:r>
        <w:t xml:space="preserve">S6. Priority-claim boundary</w:t>
      </w:r>
    </w:p>
    <w:p>
      <w:pPr>
        <w:pStyle w:val="FirstParagraph"/>
      </w:pPr>
      <w:r>
        <w:t xml:space="preserve">The literature-priority claim is limited to the joint combination of post-delivery embargoed temporal evaluation, post-hoc probability calibration, conditional severity, CQR, and explicit capacity-constrained shipment prioritization in pharmaceutical logistics. It does not claim novelty for machine learning, conformal prediction, delay-severity modeling, or prediction-to-decision integration individually.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2026-08-31T16:54:03Z</dcterms:created>
  <dcterms:modified xsi:type="dcterms:W3CDTF">2026-08-31T16:54:03Z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