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5c220f26aabbb50f04ad73fc1ab34c4b5c5f94"/>
    <w:p>
      <w:pPr>
        <w:pStyle w:val="Heading1"/>
      </w:pPr>
      <w:r>
        <w:t xml:space="preserve">Cover Letter - Transportation Research Part E</w:t>
      </w:r>
    </w:p>
    <w:p>
      <w:pPr>
        <w:pStyle w:val="FirstParagraph"/>
      </w:pPr>
      <w:r>
        <w:t>31 August 2026</w:t>
      </w:r>
    </w:p>
    <w:p>
      <w:pPr>
        <w:pStyle w:val="BodyText"/>
      </w:pPr>
      <w:r>
        <w:t xml:space="preserve">Dear Editors of</w:t>
      </w:r>
      <w:r>
        <w:t xml:space="preserve"> </w:t>
      </w:r>
      <w:r>
        <w:rPr>
          <w:i/>
          <w:iCs/>
        </w:rPr>
        <w:t xml:space="preserve">Transportation Research Part E: Logistics and Transportation Review</w:t>
      </w:r>
      <w:r>
        <w:t xml:space="preserve">,</w:t>
      </w:r>
    </w:p>
    <w:p>
      <w:pPr>
        <w:pStyle w:val="BodyText"/>
      </w:pPr>
      <w:r>
        <w:t>Please consider my manuscript, “Temporal Evaluation, Calibrated Risk, and Conformal Delay-Severity Prediction in Pharmaceutical Logistics,” for publication as a research article.</w:t>
      </w:r>
    </w:p>
    <w:p>
      <w:pPr>
        <w:pStyle w:val="BodyText"/>
      </w:pPr>
      <w:r>
        <w:t xml:space="preserve">The study addresses a logistics-evaluation problem that arises when international shipment-delay models are trained and assessed on historical records whose outcomes mature over time. Using USAID SCMS pharmaceutical and health-commodity shipments, we compare standard random cross-validation with a leakage-aware expanding temporal protocol incorporating a 90-day post-delivery embargo. The paper then connects calibrated delay-risk probabilities to conditional delay-severity modeling, conformalized quantile uncertainty, and capacity-constrained shipment prioritization.</w:t>
      </w:r>
    </w:p>
    <w:p>
      <w:pPr>
        <w:pStyle w:val="BodyText"/>
      </w:pPr>
      <w:r>
        <w:t xml:space="preserve">The primary empirical result is that random cross-validation overestimates PR-AUC relative to temporally ordered evaluation across all five tested classifier families, with relative inflation ranging from 26.2% to 99.7%. We also report negative and mixed findings transparently: Random Forest outperforms the deployment-aligned CatBoost model on several secondary benchmark metrics; a conditional median is stronger than the quantile model on point MAE; and uncertainty-aware prioritization is not universally superior across inspection capacities.</w:t>
      </w:r>
    </w:p>
    <w:p>
      <w:pPr>
        <w:pStyle w:val="BodyText"/>
      </w:pPr>
      <w:r>
        <w:t xml:space="preserve">We believe the manuscript fits TR-E because its scientific focus is logistics reliability, shipment lead-time uncertainty, risk/disruption analytics, and decision support under constrained operational capacity. The contribution is methodological integration and evaluation discipline rather than a new machine-learning algorithm.</w:t>
      </w:r>
    </w:p>
    <w:p>
      <w:pPr>
        <w:pStyle w:val="BodyText"/>
      </w:pPr>
      <w:r>
        <w:t xml:space="preserve">The manuscript uses a public historical dataset, reports frozen provenance hashes and a reproducible temporal protocol, and clearly labels all operational prioritization results as simulated scenarios.</w:t>
      </w:r>
    </w:p>
    <w:p>
      <w:pPr>
        <w:pStyle w:val="BodyText"/>
      </w:pPr>
      <w:r>
        <w:t>[FINAL AUTHOR CONFIRMATION REQUIRED BEFORE SUBMISSION: This manuscript is original, has not been published previously, and is not under consideration by another journal.]</w:t>
      </w:r>
    </w:p>
    <w:p>
      <w:pPr>
        <w:pStyle w:val="BodyText"/>
      </w:pPr>
      <w:r>
        <w:t>Eslam TagElsir</w:t>
        <w:br/>
        <w:t>Independent Researcher</w:t>
        <w:br/>
        <w:t>Egypt</w:t>
        <w:br/>
        <w:t>eslam.tagelsir20@gmail.com</w:t>
        <w:br/>
        <w:t>ORCID: None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2026-08-31T16:54:03Z</dcterms:created>
  <dcterms:modified xsi:type="dcterms:W3CDTF">2026-08-31T16:54:03Z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