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Header/Footer Test</w:t>
      </w:r>
    </w:p>
    <w:p>
      <w:r>
        <w:t xml:space="preserve">Body references the client {client_name} on case {case_number}.</w:t>
      </w:r>
    </w:p>
    <w:p>
      <w:r>
        <w:t xml:space="preserve">The header shows the firm; the footer shows the address block.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{firm_address}, {firm_city_state_zip} • {firm_email}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{firm_name} — {firm_phone}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Paralegix</dc:creator>
  <cp:lastModifiedBy>Paralegix</cp:lastModifiedBy>
  <cp:revision>1</cp:revision>
  <dcterms:created xsi:type="dcterms:W3CDTF">2026-07-18T20:07:32.435Z</dcterms:created>
  <dcterms:modified xsi:type="dcterms:W3CDTF">2026-07-18T20:07:32.435Z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