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ICAM Technical Project Plan</w:t>
      </w:r>
    </w:p>
    <w:p>
      <w:pPr>
        <w:spacing w:after="240"/>
      </w:pPr>
      <w:r>
        <w:rPr>
          <w:sz w:val="24"/>
          <w:szCs w:val="24"/>
        </w:rPr>
        <w:t xml:space="preserve">July 24, 2026</w:t>
      </w:r>
    </w:p>
    <w:p>
      <w:pPr>
        <w:spacing w:after="120"/>
      </w:pPr>
      <w:r>
        <w:rPr>
          <w:b/>
          <w:bCs/>
        </w:rPr>
        <w:t xml:space="preserve">Submitted By: </w:t>
      </w:r>
      <w:r>
        <w:t xml:space="preserve">General Dynamics Information Technology, Inc., 3150 Fairview Park Drive, Suite 100, Falls Church, VA 22042-4504, (703) 995-8700, http://www.gdit.com — DUNS 067641597, CAGE 07MU1, NAICS Business Size: Large</w:t>
      </w:r>
    </w:p>
    <w:p>
      <w:pPr>
        <w:spacing w:after="120"/>
      </w:pPr>
      <w:r>
        <w:rPr>
          <w:b/>
          <w:bCs/>
        </w:rPr>
        <w:t xml:space="preserve">POC: </w:t>
      </w:r>
      <w:r>
        <w:t xml:space="preserve">Randy Mears, (256) 947-5032, randy.mears@gdit.com</w:t>
      </w:r>
    </w:p>
    <w:p>
      <w:pPr>
        <w:spacing w:after="120"/>
      </w:pPr>
      <w:r>
        <w:rPr>
          <w:i/>
          <w:iCs/>
          <w:sz w:val="18"/>
          <w:szCs w:val="18"/>
        </w:rPr>
        <w:t xml:space="preserve">Disclosure Statement: This proposal includes data that shall not be disclosed outside the Government and shall not be duplicated, used, or disclosed—in whole or in part—for any purpose other than to evaluate this proposal. Use or disclosure of data contained on this sheet is subject to the restriction on the title page of this proposal.</w:t>
      </w:r>
    </w:p>
    <w:p>
      <w:r>
        <w:br w:type="page"/>
      </w:r>
    </w:p>
    <w:p>
      <w:pPr>
        <w:pStyle w:val="Heading1"/>
        <w:spacing w:after="140" w:before="280"/>
      </w:pPr>
      <w:r>
        <w:rPr>
          <w:b/>
          <w:bCs/>
        </w:rPr>
        <w:t xml:space="preserve">1.0  Background &amp; Understanding of the Requirement</w:t>
      </w:r>
    </w:p>
    <w:p>
      <w:pPr>
        <w:spacing w:after="120"/>
      </w:pPr>
      <w:r>
        <w:t xml:space="preserve">Goal: 150 applications onboarded per month</w:t>
      </w:r>
    </w:p>
    <w:p>
      <w:pPr>
        <w:spacing w:after="120"/>
      </w:pPr>
      <w:r>
        <w:t xml:space="preserve">Phase 1: Rapid onboarding of 250 – 300 applications to DOD E-ICAM Identity Provider (IDP) and Automated Account Provisioning (AAP)</w:t>
      </w:r>
    </w:p>
    <w:p>
      <w:pPr>
        <w:spacing w:after="120"/>
      </w:pPr>
      <w:r>
        <w:t xml:space="preserve">One of the bottlenecks and pain points during the onboarding process is familiarizing each Mission Partner with the roles &amp; responsibilities. While onboarding guides exist, many mission partners have follow up questions. The only effective channel to answer these questions remains the ICAM onboarding team.</w:t>
      </w:r>
    </w:p>
    <w:p>
      <w:pPr>
        <w:spacing w:after="120"/>
      </w:pPr>
      <w:r>
        <w:t xml:space="preserve">GDIT's Phase 1 enabler is to provide an alternative channel to allow mission partners to chat with an AI assistant for their level 100 and level 200 questions about the onboarding guide. This channel, which we are naming as an AI concierge bot, will increase mission partner satisfaction by obtaining accurate responses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1F4E5F" w:val="clear"/>
          </w:tcPr>
          <w:p>
            <w:pPr>
              <w:spacing w:after="120"/>
            </w:pPr>
            <w:r>
              <w:rPr>
                <w:b/>
                <w:bCs/>
                <w:color w:val="FFFFFF"/>
              </w:rPr>
              <w:t xml:space="preserve">Pain point / bottleneck</w:t>
            </w:r>
          </w:p>
        </w:tc>
        <w:tc>
          <w:tcPr>
            <w:tcW w:type="dxa" w:w="3200"/>
            <w:shd w:fill="1F4E5F" w:val="clear"/>
          </w:tcPr>
          <w:p>
            <w:pPr>
              <w:spacing w:after="120"/>
            </w:pPr>
            <w:r>
              <w:rPr>
                <w:b/>
                <w:bCs/>
                <w:color w:val="FFFFFF"/>
              </w:rPr>
              <w:t xml:space="preserve">Potential Solution</w:t>
            </w:r>
          </w:p>
        </w:tc>
        <w:tc>
          <w:tcPr>
            <w:tcW w:type="dxa" w:w="2960"/>
            <w:shd w:fill="1F4E5F" w:val="clear"/>
          </w:tcPr>
          <w:p>
            <w:pPr>
              <w:spacing w:after="120"/>
            </w:pPr>
            <w:r>
              <w:rPr>
                <w:b/>
                <w:bCs/>
                <w:color w:val="FFFFFF"/>
              </w:rPr>
              <w:t xml:space="preserve">Phase</w:t>
            </w:r>
          </w:p>
        </w:tc>
      </w:tr>
      <w:tr>
        <w:tc>
          <w:tcPr>
            <w:tcW w:type="dxa" w:w="3200"/>
          </w:tcPr>
          <w:p>
            <w:pPr>
              <w:spacing w:after="120"/>
            </w:pPr>
            <w:r>
              <w:t xml:space="preserve">Meeting planner and scheduling is a pain (2nd or third tier priority)</w:t>
            </w:r>
          </w:p>
        </w:tc>
        <w:tc>
          <w:tcPr>
            <w:tcW w:type="dxa" w:w="3200"/>
          </w:tcPr>
          <w:p>
            <w:pPr>
              <w:spacing w:after="120"/>
            </w:pPr>
            <w:r>
              <w:rPr>
                <w:color w:val="FF0000"/>
              </w:rPr>
              <w:t xml:space="preserve">Scheduling agent that proposes discovery/UAV slots against the CET calendar and the published onboarding priority order</w:t>
            </w:r>
          </w:p>
        </w:tc>
        <w:tc>
          <w:tcPr>
            <w:tcW w:type="dxa" w:w="2960"/>
          </w:tcPr>
          <w:p>
            <w:pPr>
              <w:spacing w:after="120"/>
            </w:pPr>
            <w:r>
              <w:rPr>
                <w:color w:val="FF0000"/>
              </w:rPr>
              <w:t xml:space="preserve">Phase 2 backlog</w:t>
            </w:r>
          </w:p>
        </w:tc>
      </w:tr>
      <w:tr>
        <w:tc>
          <w:tcPr>
            <w:tcW w:type="dxa" w:w="3200"/>
          </w:tcPr>
          <w:p>
            <w:pPr>
              <w:spacing w:after="120"/>
            </w:pPr>
            <w:r>
              <w:t xml:space="preserve">Mission Partners struggle to fill out roles in a correct manner — ICAM team will send a link to the MP with the sharepoint</w:t>
            </w:r>
          </w:p>
        </w:tc>
        <w:tc>
          <w:tcPr>
            <w:tcW w:type="dxa" w:w="3200"/>
          </w:tcPr>
          <w:p>
            <w:pPr>
              <w:spacing w:after="120"/>
            </w:pPr>
            <w:r>
              <w:rPr>
                <w:color w:val="FF0000"/>
              </w:rPr>
              <w:t xml:space="preserve">Intelligent role sheet validation: deterministic rule engine (role name format, workgroup member existence, prohibited characters, required fields) with AI advisory explanations, applied before data reaches SailPoint</w:t>
            </w:r>
          </w:p>
        </w:tc>
        <w:tc>
          <w:tcPr>
            <w:tcW w:type="dxa" w:w="2960"/>
          </w:tcPr>
          <w:p>
            <w:pPr>
              <w:spacing w:after="120"/>
            </w:pPr>
            <w:r>
              <w:rPr>
                <w:color w:val="FF0000"/>
              </w:rPr>
              <w:t xml:space="preserve">Phase 1 pilot (offline validator); Phase 2 integrated into portal agents</w:t>
            </w:r>
          </w:p>
        </w:tc>
      </w:tr>
      <w:tr>
        <w:tc>
          <w:tcPr>
            <w:tcW w:type="dxa" w:w="3200"/>
          </w:tcPr>
          <w:p>
            <w:pPr>
              <w:spacing w:after="120"/>
            </w:pPr>
            <w:r>
              <w:t xml:space="preserve">Having a lot of meetings with mission partners — almost daily calls</w:t>
            </w:r>
          </w:p>
        </w:tc>
        <w:tc>
          <w:tcPr>
            <w:tcW w:type="dxa" w:w="3200"/>
          </w:tcPr>
          <w:p>
            <w:pPr>
              <w:spacing w:after="120"/>
            </w:pPr>
            <w:r>
              <w:t xml:space="preserve">Q&amp;A website for public. </w:t>
            </w:r>
            <w:r>
              <w:rPr>
                <w:color w:val="FF0000"/>
              </w:rPr>
              <w:t xml:space="preserve">AI Concierge Bot embedded in the DEAS portal answering level 100/200 questions from the onboarding guide with citations to source pages</w:t>
            </w:r>
          </w:p>
        </w:tc>
        <w:tc>
          <w:tcPr>
            <w:tcW w:type="dxa" w:w="2960"/>
          </w:tcPr>
          <w:p>
            <w:pPr>
              <w:spacing w:after="120"/>
            </w:pPr>
            <w:r>
              <w:rPr>
                <w:color w:val="FF0000"/>
              </w:rPr>
              <w:t xml:space="preserve">Phase 1</w:t>
            </w:r>
          </w:p>
        </w:tc>
      </w:tr>
      <w:tr>
        <w:tc>
          <w:tcPr>
            <w:tcW w:type="dxa" w:w="3200"/>
          </w:tcPr>
          <w:p>
            <w:pPr>
              <w:spacing w:after="120"/>
            </w:pPr>
            <w:r>
              <w:t xml:space="preserve">MP have a hard time interfacing SailPoint APIs — error message troubleshooting</w:t>
            </w:r>
          </w:p>
        </w:tc>
        <w:tc>
          <w:tcPr>
            <w:tcW w:type="dxa" w:w="3200"/>
          </w:tcPr>
          <w:p>
            <w:pPr>
              <w:spacing w:after="120"/>
            </w:pPr>
            <w:r>
              <w:rPr>
                <w:color w:val="FF0000"/>
              </w:rPr>
              <w:t xml:space="preserve">Include the API guide and common error resolutions in the concierge corpus (Phase 1); agentic SCIM/API translator for structured assistance (Phase 2)</w:t>
            </w:r>
          </w:p>
        </w:tc>
        <w:tc>
          <w:tcPr>
            <w:tcW w:type="dxa" w:w="2960"/>
          </w:tcPr>
          <w:p>
            <w:pPr>
              <w:spacing w:after="120"/>
            </w:pPr>
            <w:r>
              <w:rPr>
                <w:color w:val="FF0000"/>
              </w:rPr>
              <w:t xml:space="preserve">Phase 1 corpus / Phase 2 agent</w:t>
            </w:r>
          </w:p>
        </w:tc>
      </w:tr>
      <w:tr>
        <w:tc>
          <w:tcPr>
            <w:tcW w:type="dxa" w:w="3200"/>
          </w:tcPr>
          <w:p>
            <w:pPr>
              <w:spacing w:after="120"/>
            </w:pPr>
            <w:r>
              <w:t xml:space="preserve">Mission Partner Familiarization</w:t>
            </w:r>
          </w:p>
        </w:tc>
        <w:tc>
          <w:tcPr>
            <w:tcW w:type="dxa" w:w="3200"/>
          </w:tcPr>
          <w:p>
            <w:pPr>
              <w:spacing w:after="120"/>
            </w:pPr>
            <w:r>
              <w:rPr>
                <w:color w:val="FF0000"/>
              </w:rPr>
              <w:t xml:space="preserve">AI Concierge Bot over curated hub content; target deflection of 30-50% of level-100 questions, reducing the ~10-day CSM portal response wait to seconds</w:t>
            </w:r>
          </w:p>
        </w:tc>
        <w:tc>
          <w:tcPr>
            <w:tcW w:type="dxa" w:w="2960"/>
          </w:tcPr>
          <w:p>
            <w:pPr>
              <w:spacing w:after="120"/>
            </w:pPr>
            <w:r>
              <w:rPr>
                <w:color w:val="FF0000"/>
              </w:rPr>
              <w:t xml:space="preserve">Phase 1</w:t>
            </w:r>
          </w:p>
        </w:tc>
      </w:tr>
    </w:tbl>
    <w:p>
      <w:pPr>
        <w:spacing w:before="160"/>
      </w:pPr>
      <w:r>
        <w:t xml:space="preserve">Phase 2: Scaling to 50k+ applications</w:t>
      </w:r>
    </w:p>
    <w:p>
      <w:pPr>
        <w:pStyle w:val="Heading1"/>
        <w:spacing w:after="140" w:before="280"/>
      </w:pPr>
      <w:r>
        <w:rPr>
          <w:b/>
          <w:bCs/>
        </w:rPr>
        <w:t xml:space="preserve">2.0  TECHNICAL VOLUME &amp; APPROACH</w:t>
      </w:r>
    </w:p>
    <w:p>
      <w:pPr>
        <w:pStyle w:val="Heading2"/>
        <w:spacing w:after="110" w:before="220"/>
      </w:pPr>
      <w:r>
        <w:rPr>
          <w:b/>
          <w:bCs/>
        </w:rPr>
        <w:t xml:space="preserve">2.1  Phase 1</w:t>
      </w:r>
    </w:p>
    <w:p>
      <w:pPr>
        <w:spacing w:after="120"/>
      </w:pPr>
      <w:r>
        <w:rPr>
          <w:color w:val="FF0000"/>
        </w:rPr>
        <w:t xml:space="preserve">GDIT will deliver the AI Concierge Bot as a Retrieval-Augmented Generation (RAG) chat capability embedded in the existing DEAS Onboarding Portal (Blazor web application). To meet the period of performance, GDIT adopts Microsoft's published Azure RAG reference implementations (Azure-Samples chat-with-your-data-solution-accelerator and azure-search-openai-demo) rather than building custom architecture: the reference template is deployed into the Government Azure environment, connected to the portal, and populated with the DoD E-ICAM onboarding guide as its knowledge corpus.</w:t>
      </w:r>
    </w:p>
    <w:p>
      <w:pPr>
        <w:spacing w:after="120"/>
      </w:pPr>
      <w:r>
        <w:rPr>
          <w:color w:val="FF0000"/>
        </w:rPr>
        <w:t xml:space="preserve">Operating pattern: (1) the mission partner asks a question in the embedded chat; (2) the request passes through Azure API Management; (3) the RAG orchestrator retrieves the most relevant onboarding-guide passages from the Azure AI Search vector index; (4) Azure OpenAI (GPT-4o) generates an answer grounded in the retrieved content; (5) the answer is returned with a citation link to the official hub page; (6) low-confidence or unanswered questions are routed to the ICAM CET team, and the routed-versus-answered ratio is logged as the deflection metric that quantifies workload relief.</w:t>
      </w:r>
    </w:p>
    <w:p>
      <w:pPr>
        <w:spacing w:after="120"/>
      </w:pPr>
      <w:r>
        <w:rPr>
          <w:color w:val="FF0000"/>
        </w:rPr>
        <w:t xml:space="preserve">Scope boundaries: the corpus is treated as static for the PoP (the onboarding guide changes at most weekly/monthly); automated re-ingestion on content publish is a documented enhancement deferred to Phase 2. The bot is advisory only and initiates no provisioning actions. Deployment specifics — GDIT-deployed services versus Microsoft-deployed services with GDIT performing integration, prompt engineering, and evaluation — will be finalized following the Microsoft environment engagement; both outcomes are supported by this plan.</w:t>
      </w:r>
    </w:p>
    <w:p>
      <w:pPr>
        <w:pStyle w:val="Heading2"/>
        <w:spacing w:after="110" w:before="220"/>
      </w:pPr>
      <w:r>
        <w:rPr>
          <w:b/>
          <w:bCs/>
        </w:rPr>
        <w:t xml:space="preserve">2.2  Phase 2</w:t>
      </w:r>
    </w:p>
    <w:p>
      <w:pPr>
        <w:spacing w:after="120"/>
      </w:pPr>
      <w:r>
        <w:rPr>
          <w:color w:val="FF0000"/>
        </w:rPr>
        <w:t xml:space="preserve">Phase 2 scales the platform to 50k+ applications by expanding from the single Phase 1 agent to the full agent garden, adding two complementary channels for collecting role and entitlement data as described below.</w:t>
      </w:r>
    </w:p>
    <w:p>
      <w:pPr>
        <w:pStyle w:val="Heading3"/>
        <w:spacing w:after="100" w:before="200"/>
      </w:pPr>
      <w:r>
        <w:rPr>
          <w:b/>
          <w:bCs/>
        </w:rPr>
        <w:t xml:space="preserve">2.2.1  Collecting roles and entitlement data</w:t>
      </w:r>
    </w:p>
    <w:p>
      <w:pPr>
        <w:spacing w:after="120"/>
      </w:pPr>
      <w:r>
        <w:t xml:space="preserve">Onboarding one role onto ICAM requires 34 fields of information to be identified. This includes basic information on the role, such as the name &amp; description, attributes for dynamic approval, and intra SOD conflict policies.</w:t>
      </w:r>
    </w:p>
    <w:p>
      <w:pPr>
        <w:spacing w:after="120"/>
      </w:pPr>
      <w:r>
        <w:t xml:space="preserve">Some small applications may have less than a dozen roles; other larger applications may have hundreds. Furthermore, roles and their policies are often dynamic and changing.</w:t>
      </w:r>
    </w:p>
    <w:p>
      <w:pPr>
        <w:spacing w:after="120"/>
      </w:pPr>
      <w:r>
        <w:t xml:space="preserve">This section focuses on supporting application owners by providing two complementary channels for efficiently collecting role and entitlement data.</w:t>
      </w:r>
    </w:p>
    <w:p>
      <w:pPr>
        <w:spacing w:after="120"/>
      </w:pPr>
      <w:r>
        <w:t xml:space="preserve">Channel 1 enhances the existing Self-Service Onboarding Portal with intelligent tooling and agentic workflows that reduce the manual burden of collecting and validating information.</w:t>
      </w:r>
    </w:p>
    <w:p>
      <w:pPr>
        <w:spacing w:after="120"/>
      </w:pPr>
      <w:r>
        <w:t xml:space="preserve">Channel 2, which is targeted for complex applications, provides a downloadable data collection toolkit that application owners can integrate with their existing code repository and CI/CD pipelines to capture entitlement information directly from the source.</w:t>
      </w:r>
    </w:p>
    <w:p>
      <w:pPr>
        <w:spacing w:after="120"/>
      </w:pPr>
      <w:r>
        <w:t xml:space="preserve">The features, benefits and outcomes of both channels are listed below.</w:t>
      </w:r>
    </w:p>
    <w:p>
      <w:pPr>
        <w:spacing w:after="120"/>
      </w:pPr>
      <w:r>
        <w:rPr>
          <w:b/>
          <w:bCs/>
        </w:rPr>
        <w:t xml:space="preserve">Channel 1: Improvements to the Self-Serve Onboarding Portal (DEAS Admin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1F4E5F" w:val="clear"/>
          </w:tcPr>
          <w:p>
            <w:pPr>
              <w:spacing w:after="120"/>
            </w:pPr>
            <w:r>
              <w:rPr>
                <w:b/>
                <w:bCs/>
                <w:color w:val="FFFFFF"/>
              </w:rPr>
              <w:t xml:space="preserve">Feature</w:t>
            </w:r>
          </w:p>
        </w:tc>
        <w:tc>
          <w:tcPr>
            <w:tcW w:type="dxa" w:w="3200"/>
            <w:shd w:fill="1F4E5F" w:val="clear"/>
          </w:tcPr>
          <w:p>
            <w:pPr>
              <w:spacing w:after="120"/>
            </w:pPr>
            <w:r>
              <w:rPr>
                <w:b/>
                <w:bCs/>
                <w:color w:val="FFFFFF"/>
              </w:rPr>
              <w:t xml:space="preserve">Benefit</w:t>
            </w:r>
          </w:p>
        </w:tc>
        <w:tc>
          <w:tcPr>
            <w:tcW w:type="dxa" w:w="2960"/>
            <w:shd w:fill="1F4E5F" w:val="clear"/>
          </w:tcPr>
          <w:p>
            <w:pPr>
              <w:spacing w:after="120"/>
            </w:pPr>
            <w:r>
              <w:rPr>
                <w:b/>
                <w:bCs/>
                <w:color w:val="FFFFFF"/>
              </w:rPr>
              <w:t xml:space="preserve">Outcome</w:t>
            </w:r>
          </w:p>
        </w:tc>
      </w:tr>
      <w:tr>
        <w:tc>
          <w:tcPr>
            <w:tcW w:type="dxa" w:w="3200"/>
          </w:tcPr>
          <w:p>
            <w:pPr>
              <w:spacing w:after="120"/>
            </w:pPr>
            <w:r>
              <w:t xml:space="preserve">AI Concierge Bot</w:t>
            </w:r>
          </w:p>
        </w:tc>
        <w:tc>
          <w:tcPr>
            <w:tcW w:type="dxa" w:w="3200"/>
          </w:tcPr>
          <w:p>
            <w:pPr>
              <w:spacing w:after="120"/>
            </w:pPr>
            <w:r>
              <w:t xml:space="preserve">Reduce cognitive burden of having to manually populate the self-Serve Onboarding Portal (DEAS Admin Portal)</w:t>
            </w:r>
          </w:p>
        </w:tc>
        <w:tc>
          <w:tcPr>
            <w:tcW w:type="dxa" w:w="2960"/>
          </w:tcPr>
          <w:p>
            <w:pPr>
              <w:spacing w:after="120"/>
            </w:pPr>
            <w:r>
              <w:t xml:space="preserve">Improve quality and accuracy of responses by 15%</w:t>
            </w:r>
          </w:p>
        </w:tc>
      </w:tr>
      <w:tr>
        <w:tc>
          <w:tcPr>
            <w:tcW w:type="dxa" w:w="3200"/>
          </w:tcPr>
          <w:p>
            <w:pPr>
              <w:spacing w:after="120"/>
            </w:pPr>
            <w:r>
              <w:t xml:space="preserve">Agentic Role Parser – Role Mining</w:t>
            </w:r>
          </w:p>
        </w:tc>
        <w:tc>
          <w:tcPr>
            <w:tcW w:type="dxa" w:w="3200"/>
          </w:tcPr>
          <w:p>
            <w:pPr>
              <w:spacing w:after="120"/>
            </w:pPr>
            <w:r>
              <w:t xml:space="preserve">Allows application owners to copy and paste role information in the formats they prefer</w:t>
            </w:r>
          </w:p>
        </w:tc>
        <w:tc>
          <w:tcPr>
            <w:tcW w:type="dxa" w:w="2960"/>
          </w:tcPr>
          <w:p>
            <w:pPr>
              <w:spacing w:after="120"/>
            </w:pPr>
            <w:r>
              <w:t xml:space="preserve">Reduces data collection time by 50% automatically structuring the unstructured data</w:t>
            </w:r>
          </w:p>
        </w:tc>
      </w:tr>
      <w:tr>
        <w:tc>
          <w:tcPr>
            <w:tcW w:type="dxa" w:w="3200"/>
          </w:tcPr>
          <w:p>
            <w:pPr>
              <w:spacing w:after="120"/>
            </w:pPr>
            <w:r>
              <w:t xml:space="preserve">Agentic Role Parser – SCIM API Translator</w:t>
            </w:r>
          </w:p>
        </w:tc>
        <w:tc>
          <w:tcPr>
            <w:tcW w:type="dxa" w:w="3200"/>
          </w:tcPr>
          <w:p>
            <w:pPr>
              <w:spacing w:after="120"/>
            </w:pPr>
            <w:r>
              <w:t xml:space="preserve">Applications with predefined SCIM 2.0 standards can be queried efficiently</w:t>
            </w:r>
          </w:p>
        </w:tc>
        <w:tc>
          <w:tcPr>
            <w:tcW w:type="dxa" w:w="2960"/>
          </w:tcPr>
          <w:p>
            <w:pPr>
              <w:spacing w:after="120"/>
            </w:pPr>
            <w:r>
              <w:t xml:space="preserve">Leverage existing standards to maintain accuracy of existing defined roles</w:t>
            </w:r>
          </w:p>
        </w:tc>
      </w:tr>
      <w:tr>
        <w:tc>
          <w:tcPr>
            <w:tcW w:type="dxa" w:w="3200"/>
          </w:tcPr>
          <w:p>
            <w:pPr>
              <w:spacing w:after="120"/>
            </w:pPr>
            <w:r>
              <w:t xml:space="preserve">Agentic Role Parser – Spreadsheet &amp; ATO Document Ingestion</w:t>
            </w:r>
          </w:p>
        </w:tc>
        <w:tc>
          <w:tcPr>
            <w:tcW w:type="dxa" w:w="3200"/>
          </w:tcPr>
          <w:p>
            <w:pPr>
              <w:spacing w:after="120"/>
            </w:pPr>
            <w:r>
              <w:t xml:space="preserve">Process existing access matrices and ATO packages that application developers have already maintained</w:t>
            </w:r>
          </w:p>
        </w:tc>
        <w:tc>
          <w:tcPr>
            <w:tcW w:type="dxa" w:w="2960"/>
          </w:tcPr>
          <w:p>
            <w:pPr>
              <w:spacing w:after="120"/>
            </w:pPr>
            <w:r>
              <w:t xml:space="preserve">Reduce duplicative data collection efforts by leveraging existing ATO documents</w:t>
            </w:r>
          </w:p>
        </w:tc>
      </w:tr>
    </w:tbl>
    <w:p>
      <w:pPr>
        <w:spacing w:before="160"/>
      </w:pPr>
      <w:r>
        <w:rPr>
          <w:b/>
          <w:bCs/>
        </w:rPr>
        <w:t xml:space="preserve">Channel 2: ICAM Onboarding Software for App Owners</w:t>
      </w:r>
    </w:p>
    <w:p>
      <w:pPr>
        <w:spacing w:after="120"/>
      </w:pPr>
      <w:r>
        <w:t xml:space="preserve">Large application owners: performs static code analysis, readme documentation, configuration file parsing, API scanning and OAuth metadata searches to identify roles and descriptions.</w:t>
      </w:r>
    </w:p>
    <w:p>
      <w:pPr>
        <w:spacing w:after="120"/>
      </w:pPr>
      <w:r>
        <w:t xml:space="preserve">Dependency is that pipelines have access to Government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1F4E5F" w:val="clear"/>
          </w:tcPr>
          <w:p>
            <w:pPr>
              <w:spacing w:after="120"/>
            </w:pPr>
            <w:r>
              <w:rPr>
                <w:b/>
                <w:bCs/>
                <w:color w:val="FFFFFF"/>
              </w:rPr>
              <w:t xml:space="preserve">Feature</w:t>
            </w:r>
          </w:p>
        </w:tc>
        <w:tc>
          <w:tcPr>
            <w:tcW w:type="dxa" w:w="3200"/>
            <w:shd w:fill="1F4E5F" w:val="clear"/>
          </w:tcPr>
          <w:p>
            <w:pPr>
              <w:spacing w:after="120"/>
            </w:pPr>
            <w:r>
              <w:rPr>
                <w:b/>
                <w:bCs/>
                <w:color w:val="FFFFFF"/>
              </w:rPr>
              <w:t xml:space="preserve">Benefit</w:t>
            </w:r>
          </w:p>
        </w:tc>
        <w:tc>
          <w:tcPr>
            <w:tcW w:type="dxa" w:w="2960"/>
            <w:shd w:fill="1F4E5F" w:val="clear"/>
          </w:tcPr>
          <w:p>
            <w:pPr>
              <w:spacing w:after="120"/>
            </w:pPr>
            <w:r>
              <w:rPr>
                <w:b/>
                <w:bCs/>
                <w:color w:val="FFFFFF"/>
              </w:rPr>
              <w:t xml:space="preserve">Outcome</w:t>
            </w:r>
          </w:p>
        </w:tc>
      </w:tr>
      <w:tr>
        <w:tc>
          <w:tcPr>
            <w:tcW w:type="dxa" w:w="3200"/>
          </w:tcPr>
          <w:p>
            <w:pPr>
              <w:spacing w:after="120"/>
            </w:pPr>
            <w:r>
              <w:t xml:space="preserve">Self-deployable Role Discovery Toolkit: designed to search application repositories and documentation</w:t>
            </w:r>
          </w:p>
        </w:tc>
        <w:tc>
          <w:tcPr>
            <w:tcW w:type="dxa" w:w="3200"/>
          </w:tcPr>
          <w:p>
            <w:pPr>
              <w:spacing w:after="120"/>
            </w:pPr>
            <w:r>
              <w:t xml:space="preserve">Automated extraction pulls up to hundreds of roles directly from the code repository and sources of truth</w:t>
            </w:r>
          </w:p>
        </w:tc>
        <w:tc>
          <w:tcPr>
            <w:tcW w:type="dxa" w:w="2960"/>
          </w:tcPr>
          <w:p>
            <w:pPr>
              <w:spacing w:after="120"/>
            </w:pPr>
            <w:r>
              <w:t xml:space="preserve">50% improvement in accuracy, 50% improvement in data collection</w:t>
            </w:r>
          </w:p>
        </w:tc>
      </w:tr>
      <w:tr>
        <w:tc>
          <w:tcPr>
            <w:tcW w:type="dxa" w:w="3200"/>
          </w:tcPr>
          <w:p>
            <w:pPr>
              <w:spacing w:after="120"/>
            </w:pPr>
            <w:r>
              <w:t xml:space="preserve">Toolkit with CI/CD Pipeline Hooks</w:t>
            </w:r>
          </w:p>
        </w:tc>
        <w:tc>
          <w:tcPr>
            <w:tcW w:type="dxa" w:w="3200"/>
          </w:tcPr>
          <w:p>
            <w:pPr>
              <w:spacing w:after="120"/>
            </w:pPr>
            <w:r>
              <w:t xml:space="preserve">Reduces onboarding administrative burden for applications that expect to have many changing roles</w:t>
            </w:r>
          </w:p>
        </w:tc>
        <w:tc>
          <w:tcPr>
            <w:tcW w:type="dxa" w:w="2960"/>
          </w:tcPr>
          <w:p>
            <w:pPr>
              <w:spacing w:after="120"/>
            </w:pPr>
            <w:r>
              <w:t xml:space="preserve">Ensures maximum consistency on role adds and role deletions, with auditability</w:t>
            </w:r>
          </w:p>
        </w:tc>
      </w:tr>
    </w:tbl>
    <w:p>
      <w:pPr>
        <w:pStyle w:val="Heading2"/>
        <w:spacing w:after="110" w:before="220"/>
      </w:pPr>
      <w:r>
        <w:rPr>
          <w:b/>
          <w:bCs/>
        </w:rPr>
        <w:t xml:space="preserve">2.3  SYSTEM ARCHITECTURE</w:t>
      </w:r>
    </w:p>
    <w:p>
      <w:pPr>
        <w:spacing w:after="120"/>
      </w:pPr>
      <w:r>
        <w:rPr>
          <w:b/>
          <w:bCs/>
        </w:rPr>
        <w:t xml:space="preserve">Phase 1: </w:t>
      </w:r>
    </w:p>
    <w:p>
      <w:pPr>
        <w:spacing w:after="120"/>
      </w:pPr>
      <w:r>
        <w:rPr>
          <w:color w:val="FF0000"/>
        </w:rPr>
        <w:t xml:space="preserve">[Insert Phase 1 architecture diagram here — same layered structure as Phase 2.]</w:t>
      </w:r>
    </w:p>
    <w:p>
      <w:pPr>
        <w:spacing w:after="120"/>
      </w:pPr>
      <w:r>
        <w:rPr>
          <w:color w:val="FF0000"/>
        </w:rPr>
        <w:t xml:space="preserve">The Phase 1 architecture instantiates the identical three-layer structure used in Phase 2 — Intake Layer, Orchestration &amp; Agent Garden Layer, and Storage &amp; DevOps Layer — with a single agent, so Phase 2 is an expansion of the running Phase 1 platform rather than a re-architecture.</w:t>
      </w:r>
    </w:p>
    <w:p>
      <w:pPr>
        <w:spacing w:after="120"/>
      </w:pPr>
      <w:r>
        <w:rPr>
          <w:color w:val="FF0000"/>
        </w:rPr>
        <w:t xml:space="preserve">Intake Layer: the DEAS Portal (Blazor Web App) hosts the embedded Onboarding Q&amp;A chat alongside the existing Onboarding Workflow; all AI requests exit the portal through a REST API to Azure API Management, which provides authentication, throttling, and request logging.</w:t>
      </w:r>
    </w:p>
    <w:p>
      <w:pPr>
        <w:spacing w:after="120"/>
      </w:pPr>
      <w:r>
        <w:rPr>
          <w:color w:val="FF0000"/>
        </w:rPr>
        <w:t xml:space="preserve">Orchestration &amp; Agent Garden Layer: the Onboarding Q&amp;A Agent performs retrieve-then-generate — it queries Azure AI Search (HNSW vector index with semantic ranking over the onboarding guide) for the top-k relevant passages, then calls the shared LLM backend (Azure OpenAI Service, GPT-4o) to produce a grounded answer returned to the user with a citation to the source hub page. A text-embedding-3 deployment in the same Azure OpenAI service powers embedding generation. Document ingestion is a batch pipeline — SharePoint Online source library, text extraction and section-based chunking, embedding generation, index load — triggered on content publish or run manually.</w:t>
      </w:r>
    </w:p>
    <w:p>
      <w:pPr>
        <w:spacing w:after="120"/>
      </w:pPr>
      <w:r>
        <w:rPr>
          <w:color w:val="FF0000"/>
        </w:rPr>
        <w:t xml:space="preserve">Storage &amp; DevOps Layer: the Prompt Staging Database (CosmosDB) captures chat history and session state in real time; Blob Storage retains raw document copies; Azure DevOps provides dev/test/prod pipelines. Human-in-the-loop review via Azure Logic Apps routes unanswered questions and exceptions to the ICAM CET team.</w:t>
      </w:r>
    </w:p>
    <w:p>
      <w:pPr>
        <w:spacing w:after="120"/>
      </w:pPr>
      <w:r>
        <w:rPr>
          <w:b/>
          <w:bCs/>
        </w:rPr>
        <w:t xml:space="preserve">Phase 2: </w:t>
      </w:r>
    </w:p>
    <w:p>
      <w:pPr>
        <w:spacing w:after="120"/>
      </w:pPr>
      <w:r>
        <w:t xml:space="preserve">GDIT prefers to leverage Azure Serverless services that are deployable in IL5</w:t>
      </w:r>
    </w:p>
    <w:p>
      <w:pPr>
        <w:spacing w:after="120"/>
      </w:pPr>
      <w:r>
        <w:rPr>
          <w:color w:val="FF0000"/>
        </w:rPr>
        <w:t xml:space="preserve">[Existing Phase 2 architecture diagram.] Phase 2 populates the same layers at scale: the agent garden adds the Role Mining, SCIM API Translator, ATO &amp; Spreadsheet Ingestion, Static Code Analyzer, Config/YAML Parser, Testing, and SailPoint Translation agents behind an Intent Classifier with input guardrails; Role Normalization and SOD Conflict Detection validate collected data; Azure Functions orchestrate onboarding workflows with Azure Storage Queues for message routing; and validated, SailPoint-approved role data is published to SailPoint ICAM following human-in-the-loop review.</w:t>
      </w:r>
    </w:p>
    <w:p>
      <w:pPr>
        <w:pStyle w:val="Heading2"/>
        <w:spacing w:after="110" w:before="220"/>
      </w:pPr>
      <w:r>
        <w:rPr>
          <w:b/>
          <w:bCs/>
        </w:rPr>
        <w:t xml:space="preserve">2.4  QUALITY ASSURANCE</w:t>
      </w:r>
    </w:p>
    <w:p>
      <w:pPr>
        <w:spacing w:after="120"/>
      </w:pPr>
      <w:r>
        <w:t xml:space="preserve">Testing</w:t>
      </w:r>
    </w:p>
    <w:p>
      <w:pPr>
        <w:spacing w:after="120"/>
      </w:pPr>
      <w:r>
        <w:rPr>
          <w:color w:val="FF0000"/>
        </w:rPr>
        <w:t xml:space="preserve">Phase 1 quality is measured against a golden question set drawn from the ICAM CET team's most frequent mission-partner questions and CSM portal history. Each release candidate is evaluated for: (a) answer groundedness — every response must be supported by retrieved passages; (b) citation accuracy — the linked hub page must contain the answer; (c) refusal behavior — out-of-corpus questions must route to CET rather than speculate; and (d) prompt-injection resistance using adversarial test prompts. Prompt and retrieval configuration changes are regression-tested against the golden set in Azure DevOps before promotion.</w:t>
      </w:r>
    </w:p>
    <w:p>
      <w:pPr>
        <w:spacing w:after="120"/>
      </w:pPr>
      <w:r>
        <w:rPr>
          <w:color w:val="FF0000"/>
        </w:rPr>
        <w:t xml:space="preserve">Acceptance is a user acceptance test with CET SMEs validating response quality against the published guide. The deflection rate and response accuracy are reported at each monthly milestone review. In Phase 2, the same evaluation harness extends to each agent: parser agents are tested against labeled role datasets with precision/recall gates, and the SailPoint Translation agent output is validated against SailPoint schema rules before publication.</w:t>
      </w:r>
    </w:p>
    <w:p>
      <w:pPr>
        <w:pStyle w:val="Heading2"/>
        <w:spacing w:after="110" w:before="220"/>
      </w:pPr>
      <w:r>
        <w:rPr>
          <w:b/>
          <w:bCs/>
        </w:rPr>
        <w:t xml:space="preserve">2.5  SECURITY &amp; COMPLIANCE</w:t>
      </w:r>
    </w:p>
    <w:p>
      <w:pPr>
        <w:spacing w:after="120"/>
      </w:pPr>
      <w:r>
        <w:t xml:space="preserve">The ICAM Onboarding Application leverages a defense-in-depth approach to address infrastructure security, identity and access government, application-layer controls, continuous monitoring and agentic layer risks.</w:t>
      </w:r>
    </w:p>
    <w:p>
      <w:pPr>
        <w:spacing w:after="120"/>
      </w:pPr>
      <w:r>
        <w:t xml:space="preserve">All platform services leverage Azure serverless services, eliminating persistent attack surfaces, reducing the OS and runtime patch burden, and enabling native integration with Azure Key Vault, Managed Identity, and Azure Monitor for end-to-end IL5-compliant security controls.</w:t>
      </w:r>
    </w:p>
    <w:p>
      <w:pPr>
        <w:spacing w:after="120"/>
      </w:pPr>
      <w:r>
        <w:t xml:space="preserve">Each of the AI agents runs under a discrete Azure Managed Identity with least-privilege permissions scoped to the resources it requires. An intent classifier acts as a routing mechanism to evaluate every single incoming LLM request; requests that are too broad, unknown or likely to contain prompt injections, are discarded before reaching an agent. Input guardrails further ensure no PII is evaluated while blocking attempts to override agent instructions. All agent activity, including LLM calls and orchestration decisions, are written to Azure Monitor logs providing a full audit trail.</w:t>
      </w:r>
    </w:p>
    <w:p>
      <w:pPr>
        <w:spacing w:after="120"/>
      </w:pPr>
      <w:r>
        <w:rPr>
          <w:color w:val="FF0000"/>
        </w:rPr>
        <w:t xml:space="preserve">Phase 1 specifics: the concierge corpus consists solely of official DoD E-ICAM hub documentation; no PII and no mission-partner-submitted data is ingested. The chat service runs under a discrete Managed Identity with least-privilege access to the Search index, is reachable only through Azure API Management from the authenticated portal session, and inherits the input guardrails and Azure Monitor audit logging described above. Only IL5-authorized Azure services are used.</w:t>
      </w:r>
    </w:p>
    <w:p>
      <w:pPr>
        <w:pStyle w:val="Heading1"/>
        <w:spacing w:after="140" w:before="280"/>
      </w:pPr>
      <w:r>
        <w:rPr>
          <w:b/>
          <w:bCs/>
        </w:rPr>
        <w:t xml:space="preserve">3.0  PROGRAM MANAGEMENT</w:t>
      </w:r>
    </w:p>
    <w:p>
      <w:pPr>
        <w:spacing w:after="120"/>
      </w:pPr>
      <w:r>
        <w:t xml:space="preserve">GDIT recommends a single prioritized backlog managed by a Product Owner. Work is organized into two week sprints, each producing working software improvements that DISA stakeholders can review and provide feedback on directly.</w:t>
      </w:r>
    </w:p>
    <w:p>
      <w:pPr>
        <w:spacing w:after="120"/>
      </w:pPr>
      <w:r>
        <w:t xml:space="preserve">Daily standups keep cross-discipline dependencies between cloud infrastructure, AI, data and UI engineers visible and resolved before they become blockers.</w:t>
      </w:r>
    </w:p>
    <w:p>
      <w:pPr>
        <w:spacing w:after="120"/>
      </w:pPr>
      <w:r>
        <w:t xml:space="preserve">GDIT recommends monthly milestone reviews tied to reviewing metrics including onboarding process time. This provides DISA a recurring touchpoint to assess improvement and align on next months tasks to improve onboarding velocity.</w:t>
      </w:r>
    </w:p>
    <w:p>
      <w:pPr>
        <w:spacing w:after="120"/>
      </w:pPr>
      <w:r>
        <w:t xml:space="preserve">Progress is tracked in an Azure DevOps board, complete with sprint burndown, cumulative onboarding process time reduction, and defect trends. This cadence delivers the transparency and adaptability to keep the team focused on delivering a platform that onboards a variety of applications faster with every successive sprint.</w:t>
      </w:r>
    </w:p>
    <w:p>
      <w:pPr>
        <w:pStyle w:val="Heading1"/>
        <w:spacing w:after="140" w:before="280"/>
      </w:pPr>
      <w:r>
        <w:rPr>
          <w:b/>
          <w:bCs/>
        </w:rPr>
        <w:t xml:space="preserve">4.0  STAFFING PLAN</w:t>
      </w:r>
    </w:p>
    <w:p>
      <w:pPr>
        <w:pStyle w:val="Heading2"/>
        <w:spacing w:after="110" w:before="220"/>
      </w:pPr>
      <w:r>
        <w:rPr>
          <w:b/>
          <w:bCs/>
        </w:rPr>
        <w:t xml:space="preserve">4.1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1F4E5F" w:val="clear"/>
          </w:tcPr>
          <w:p>
            <w:pPr>
              <w:spacing w:after="120"/>
            </w:pPr>
            <w:r>
              <w:rPr>
                <w:b/>
                <w:bCs/>
                <w:color w:val="FFFFFF"/>
              </w:rPr>
              <w:t xml:space="preserve">Labor Category</w:t>
            </w:r>
          </w:p>
        </w:tc>
        <w:tc>
          <w:tcPr>
            <w:tcW w:type="dxa" w:w="3200"/>
            <w:shd w:fill="1F4E5F" w:val="clear"/>
          </w:tcPr>
          <w:p>
            <w:pPr>
              <w:spacing w:after="120"/>
            </w:pPr>
            <w:r>
              <w:rPr>
                <w:b/>
                <w:bCs/>
                <w:color w:val="FFFFFF"/>
              </w:rPr>
              <w:t xml:space="preserve">Quantity</w:t>
            </w:r>
          </w:p>
        </w:tc>
        <w:tc>
          <w:tcPr>
            <w:tcW w:type="dxa" w:w="2960"/>
            <w:shd w:fill="1F4E5F" w:val="clear"/>
          </w:tcPr>
          <w:p>
            <w:pPr>
              <w:spacing w:after="120"/>
            </w:pPr>
            <w:r>
              <w:rPr>
                <w:b/>
                <w:bCs/>
                <w:color w:val="FFFFFF"/>
              </w:rPr>
              <w:t xml:space="preserve">Description</w:t>
            </w:r>
          </w:p>
        </w:tc>
      </w:tr>
      <w:tr>
        <w:tc>
          <w:tcPr>
            <w:tcW w:type="dxa" w:w="3200"/>
          </w:tcPr>
          <w:p>
            <w:pPr>
              <w:spacing w:after="120"/>
            </w:pPr>
            <w:r>
              <w:rPr>
                <w:color w:val="FF0000"/>
              </w:rPr>
              <w:t xml:space="preserve">AI Solution Architect / AI Lead</w:t>
            </w:r>
          </w:p>
        </w:tc>
        <w:tc>
          <w:tcPr>
            <w:tcW w:type="dxa" w:w="3200"/>
          </w:tcPr>
          <w:p>
            <w:pPr>
              <w:spacing w:after="120"/>
            </w:pPr>
            <w:r>
              <w:rPr>
                <w:color w:val="FF0000"/>
              </w:rPr>
              <w:t xml:space="preserve">1</w:t>
            </w:r>
          </w:p>
        </w:tc>
        <w:tc>
          <w:tcPr>
            <w:tcW w:type="dxa" w:w="2960"/>
          </w:tcPr>
          <w:p>
            <w:pPr>
              <w:spacing w:after="120"/>
            </w:pPr>
            <w:r>
              <w:rPr>
                <w:color w:val="FF0000"/>
              </w:rPr>
              <w:t xml:space="preserve">Solution architecture, Azure service design, evaluation criteria, government and Microsoft technical coordination</w:t>
            </w:r>
          </w:p>
        </w:tc>
      </w:tr>
      <w:tr>
        <w:tc>
          <w:tcPr>
            <w:tcW w:type="dxa" w:w="3200"/>
          </w:tcPr>
          <w:p>
            <w:pPr>
              <w:spacing w:after="120"/>
            </w:pPr>
            <w:r>
              <w:rPr>
                <w:color w:val="FF0000"/>
              </w:rPr>
              <w:t xml:space="preserve">AI/ML Engineers</w:t>
            </w:r>
          </w:p>
        </w:tc>
        <w:tc>
          <w:tcPr>
            <w:tcW w:type="dxa" w:w="3200"/>
          </w:tcPr>
          <w:p>
            <w:pPr>
              <w:spacing w:after="120"/>
            </w:pPr>
            <w:r>
              <w:rPr>
                <w:color w:val="FF0000"/>
              </w:rPr>
              <w:t xml:space="preserve">2</w:t>
            </w:r>
          </w:p>
        </w:tc>
        <w:tc>
          <w:tcPr>
            <w:tcW w:type="dxa" w:w="2960"/>
          </w:tcPr>
          <w:p>
            <w:pPr>
              <w:spacing w:after="120"/>
            </w:pPr>
            <w:r>
              <w:rPr>
                <w:color w:val="FF0000"/>
              </w:rPr>
              <w:t xml:space="preserve">RAG template deployment, corpus ingestion, portal integration, prompt engineering, evaluation harness</w:t>
            </w:r>
          </w:p>
        </w:tc>
      </w:tr>
      <w:tr>
        <w:tc>
          <w:tcPr>
            <w:tcW w:type="dxa" w:w="3200"/>
          </w:tcPr>
          <w:p>
            <w:pPr>
              <w:spacing w:after="120"/>
            </w:pPr>
            <w:r>
              <w:rPr>
                <w:color w:val="FF0000"/>
              </w:rPr>
              <w:t xml:space="preserve">Technical Project Support</w:t>
            </w:r>
          </w:p>
        </w:tc>
        <w:tc>
          <w:tcPr>
            <w:tcW w:type="dxa" w:w="3200"/>
          </w:tcPr>
          <w:p>
            <w:pPr>
              <w:spacing w:after="120"/>
            </w:pPr>
            <w:r>
              <w:rPr>
                <w:color w:val="FF0000"/>
              </w:rPr>
              <w:t xml:space="preserve">1</w:t>
            </w:r>
          </w:p>
        </w:tc>
        <w:tc>
          <w:tcPr>
            <w:tcW w:type="dxa" w:w="2960"/>
          </w:tcPr>
          <w:p>
            <w:pPr>
              <w:spacing w:after="120"/>
            </w:pPr>
            <w:r>
              <w:rPr>
                <w:color w:val="FF0000"/>
              </w:rPr>
              <w:t xml:space="preserve">Project plan maintenance, backlog and sprint coordination, documentation</w:t>
            </w:r>
          </w:p>
        </w:tc>
      </w:tr>
      <w:tr>
        <w:tc>
          <w:tcPr>
            <w:tcW w:type="dxa" w:w="3200"/>
          </w:tcPr>
          <w:p>
            <w:pPr>
              <w:spacing w:after="120"/>
            </w:pPr>
            <w:r>
              <w:rPr>
                <w:color w:val="FF0000"/>
              </w:rPr>
              <w:t xml:space="preserve">ICAM SME (shared)</w:t>
            </w:r>
          </w:p>
        </w:tc>
        <w:tc>
          <w:tcPr>
            <w:tcW w:type="dxa" w:w="3200"/>
          </w:tcPr>
          <w:p>
            <w:pPr>
              <w:spacing w:after="120"/>
            </w:pPr>
            <w:r>
              <w:rPr>
                <w:color w:val="FF0000"/>
              </w:rPr>
              <w:t xml:space="preserve">As needed</w:t>
            </w:r>
          </w:p>
        </w:tc>
        <w:tc>
          <w:tcPr>
            <w:tcW w:type="dxa" w:w="2960"/>
          </w:tcPr>
          <w:p>
            <w:pPr>
              <w:spacing w:after="120"/>
            </w:pPr>
            <w:r>
              <w:rPr>
                <w:color w:val="FF0000"/>
              </w:rPr>
              <w:t xml:space="preserve">Voice of the customer: golden question set input, content curation, UAT validation</w:t>
            </w:r>
          </w:p>
        </w:tc>
      </w:tr>
    </w:tbl>
    <w:p>
      <w:pPr>
        <w:pStyle w:val="Heading2"/>
        <w:spacing w:after="110" w:before="220"/>
      </w:pPr>
      <w:r>
        <w:rPr>
          <w:b/>
          <w:bCs/>
        </w:rPr>
        <w:t xml:space="preserve">4.2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1F4E5F" w:val="clear"/>
          </w:tcPr>
          <w:p>
            <w:pPr>
              <w:spacing w:after="120"/>
            </w:pPr>
            <w:r>
              <w:rPr>
                <w:b/>
                <w:bCs/>
                <w:color w:val="FFFFFF"/>
              </w:rPr>
              <w:t xml:space="preserve">Labor Category</w:t>
            </w:r>
          </w:p>
        </w:tc>
        <w:tc>
          <w:tcPr>
            <w:tcW w:type="dxa" w:w="3200"/>
            <w:shd w:fill="1F4E5F" w:val="clear"/>
          </w:tcPr>
          <w:p>
            <w:pPr>
              <w:spacing w:after="120"/>
            </w:pPr>
            <w:r>
              <w:rPr>
                <w:b/>
                <w:bCs/>
                <w:color w:val="FFFFFF"/>
              </w:rPr>
              <w:t xml:space="preserve">Quantity</w:t>
            </w:r>
          </w:p>
        </w:tc>
        <w:tc>
          <w:tcPr>
            <w:tcW w:type="dxa" w:w="2960"/>
            <w:shd w:fill="1F4E5F" w:val="clear"/>
          </w:tcPr>
          <w:p>
            <w:pPr>
              <w:spacing w:after="120"/>
            </w:pPr>
            <w:r>
              <w:rPr>
                <w:b/>
                <w:bCs/>
                <w:color w:val="FFFFFF"/>
              </w:rPr>
              <w:t xml:space="preserve">Description</w:t>
            </w:r>
          </w:p>
        </w:tc>
      </w:tr>
      <w:tr>
        <w:tc>
          <w:tcPr>
            <w:tcW w:type="dxa" w:w="3200"/>
          </w:tcPr>
          <w:p>
            <w:pPr>
              <w:spacing w:after="120"/>
            </w:pPr>
            <w:r>
              <w:t xml:space="preserve">Program/Product Manager</w:t>
            </w:r>
          </w:p>
        </w:tc>
        <w:tc>
          <w:tcPr>
            <w:tcW w:type="dxa" w:w="3200"/>
          </w:tcPr>
          <w:p>
            <w:pPr>
              <w:spacing w:after="120"/>
            </w:pPr>
            <w:r>
              <w:t xml:space="preserve">1</w:t>
            </w:r>
          </w:p>
        </w:tc>
        <w:tc>
          <w:tcPr>
            <w:tcW w:type="dxa" w:w="2960"/>
          </w:tcPr>
          <w:p>
            <w:pPr>
              <w:spacing w:after="120"/>
            </w:pPr>
            <w:r>
              <w:t xml:space="preserve">Overall feature prioritization, backlog management, stakeholder</w:t>
            </w:r>
          </w:p>
        </w:tc>
      </w:tr>
      <w:tr>
        <w:tc>
          <w:tcPr>
            <w:tcW w:type="dxa" w:w="3200"/>
          </w:tcPr>
          <w:p>
            <w:pPr>
              <w:spacing w:after="120"/>
            </w:pPr>
            <w:r>
              <w:t xml:space="preserve">Cloud Infrastructure Architects</w:t>
            </w:r>
          </w:p>
        </w:tc>
        <w:tc>
          <w:tcPr>
            <w:tcW w:type="dxa" w:w="3200"/>
          </w:tcPr>
          <w:p>
            <w:pPr>
              <w:spacing w:after="120"/>
            </w:pPr>
            <w:r>
              <w:t xml:space="preserve">1 Senior, 1 Junior</w:t>
            </w:r>
          </w:p>
        </w:tc>
        <w:tc>
          <w:tcPr>
            <w:tcW w:type="dxa" w:w="2960"/>
          </w:tcPr>
          <w:p>
            <w:pPr>
              <w:spacing w:after="120"/>
            </w:pPr>
            <w:r>
              <w:t xml:space="preserve">Supports the buildout of services in infrastructure as code</w:t>
            </w:r>
          </w:p>
        </w:tc>
      </w:tr>
      <w:tr>
        <w:tc>
          <w:tcPr>
            <w:tcW w:type="dxa" w:w="3200"/>
          </w:tcPr>
          <w:p>
            <w:pPr>
              <w:spacing w:after="120"/>
            </w:pPr>
            <w:r>
              <w:t xml:space="preserve">AI/ML Engineer</w:t>
            </w:r>
          </w:p>
        </w:tc>
        <w:tc>
          <w:tcPr>
            <w:tcW w:type="dxa" w:w="3200"/>
          </w:tcPr>
          <w:p>
            <w:pPr>
              <w:spacing w:after="120"/>
            </w:pPr>
            <w:r>
              <w:t xml:space="preserve">1 Senior, 1 Junior</w:t>
            </w:r>
          </w:p>
        </w:tc>
        <w:tc>
          <w:tcPr>
            <w:tcW w:type="dxa" w:w="2960"/>
          </w:tcPr>
          <w:p>
            <w:pPr>
              <w:spacing w:after="120"/>
            </w:pPr>
            <w:r>
              <w:t xml:space="preserve">Responsible for Agentic Workflow buildout and overall accuracy of responses</w:t>
            </w:r>
          </w:p>
        </w:tc>
      </w:tr>
      <w:tr>
        <w:tc>
          <w:tcPr>
            <w:tcW w:type="dxa" w:w="3200"/>
          </w:tcPr>
          <w:p>
            <w:pPr>
              <w:spacing w:after="120"/>
            </w:pPr>
            <w:r>
              <w:t xml:space="preserve">DevSecOps</w:t>
            </w:r>
          </w:p>
        </w:tc>
        <w:tc>
          <w:tcPr>
            <w:tcW w:type="dxa" w:w="3200"/>
          </w:tcPr>
          <w:p>
            <w:pPr>
              <w:spacing w:after="120"/>
            </w:pPr>
            <w:r>
              <w:t xml:space="preserve">1 Senior</w:t>
            </w:r>
          </w:p>
        </w:tc>
        <w:tc>
          <w:tcPr>
            <w:tcW w:type="dxa" w:w="2960"/>
          </w:tcPr>
          <w:p>
            <w:pPr>
              <w:spacing w:after="120"/>
            </w:pPr>
            <w:r>
              <w:t xml:space="preserve">~40% reduction in revision cycles</w:t>
            </w:r>
          </w:p>
        </w:tc>
      </w:tr>
      <w:tr>
        <w:tc>
          <w:tcPr>
            <w:tcW w:type="dxa" w:w="3200"/>
          </w:tcPr>
          <w:p>
            <w:pPr>
              <w:spacing w:after="120"/>
            </w:pPr>
            <w:r>
              <w:t xml:space="preserve">Data Engineer</w:t>
            </w:r>
          </w:p>
        </w:tc>
        <w:tc>
          <w:tcPr>
            <w:tcW w:type="dxa" w:w="3200"/>
          </w:tcPr>
          <w:p>
            <w:pPr>
              <w:spacing w:after="120"/>
            </w:pPr>
            <w:r>
              <w:t xml:space="preserve">1 Senior</w:t>
            </w:r>
          </w:p>
        </w:tc>
        <w:tc>
          <w:tcPr>
            <w:tcW w:type="dxa" w:w="2960"/>
          </w:tcPr>
          <w:p>
            <w:pPr>
              <w:spacing w:after="120"/>
            </w:pPr>
            <w:r>
              <w:t xml:space="preserve">Configuration of data model, data interfaces, databases and storage</w:t>
            </w:r>
          </w:p>
        </w:tc>
      </w:tr>
      <w:tr>
        <w:tc>
          <w:tcPr>
            <w:tcW w:type="dxa" w:w="3200"/>
          </w:tcPr>
          <w:p>
            <w:pPr>
              <w:spacing w:after="120"/>
            </w:pPr>
            <w:r>
              <w:t xml:space="preserve">Cybersecurity Engineer</w:t>
            </w:r>
          </w:p>
        </w:tc>
        <w:tc>
          <w:tcPr>
            <w:tcW w:type="dxa" w:w="3200"/>
          </w:tcPr>
          <w:p>
            <w:pPr>
              <w:spacing w:after="120"/>
            </w:pPr>
            <w:r>
              <w:t xml:space="preserve">1 Senior</w:t>
            </w:r>
          </w:p>
        </w:tc>
        <w:tc>
          <w:tcPr>
            <w:tcW w:type="dxa" w:w="2960"/>
          </w:tcPr>
          <w:p>
            <w:pPr>
              <w:spacing w:after="120"/>
            </w:pPr>
            <w:r>
              <w:t xml:space="preserve">Supports ATO documentation, cyber hardening, AI Risk Management</w:t>
            </w:r>
          </w:p>
        </w:tc>
      </w:tr>
      <w:tr>
        <w:tc>
          <w:tcPr>
            <w:tcW w:type="dxa" w:w="3200"/>
          </w:tcPr>
          <w:p>
            <w:pPr>
              <w:spacing w:after="120"/>
            </w:pPr>
            <w:r>
              <w:t xml:space="preserve">User Interface/User Experience Engineers</w:t>
            </w:r>
          </w:p>
        </w:tc>
        <w:tc>
          <w:tcPr>
            <w:tcW w:type="dxa" w:w="3200"/>
          </w:tcPr>
          <w:p>
            <w:pPr>
              <w:spacing w:after="120"/>
            </w:pPr>
            <w:r>
              <w:t xml:space="preserve">1 Senior, 1 Junior</w:t>
            </w:r>
          </w:p>
        </w:tc>
        <w:tc>
          <w:tcPr>
            <w:tcW w:type="dxa" w:w="2960"/>
          </w:tcPr>
          <w:p>
            <w:pPr>
              <w:spacing w:after="120"/>
            </w:pPr>
            <w:r>
              <w:t xml:space="preserve">Customer Facing Application Development including front end components and backend API creation</w:t>
            </w:r>
          </w:p>
        </w:tc>
      </w:tr>
      <w:tr>
        <w:tc>
          <w:tcPr>
            <w:tcW w:type="dxa" w:w="3200"/>
          </w:tcPr>
          <w:p>
            <w:pPr>
              <w:spacing w:after="120"/>
            </w:pPr>
            <w:r>
              <w:t xml:space="preserve">ICAM SMEs</w:t>
            </w:r>
          </w:p>
        </w:tc>
        <w:tc>
          <w:tcPr>
            <w:tcW w:type="dxa" w:w="3200"/>
          </w:tcPr>
          <w:p>
            <w:pPr>
              <w:spacing w:after="120"/>
            </w:pPr>
            <w:r>
              <w:t xml:space="preserve">2 Senior</w:t>
            </w:r>
          </w:p>
        </w:tc>
        <w:tc>
          <w:tcPr>
            <w:tcW w:type="dxa" w:w="2960"/>
          </w:tcPr>
          <w:p>
            <w:pPr>
              <w:spacing w:after="120"/>
            </w:pPr>
            <w:r>
              <w:t xml:space="preserve">Provide Voice of the Customer input through feature prioritization, testing and validation</w:t>
            </w:r>
          </w:p>
        </w:tc>
      </w:tr>
    </w:tbl>
    <w:p>
      <w:pPr>
        <w:pStyle w:val="Heading1"/>
        <w:spacing w:after="140" w:before="280"/>
      </w:pPr>
      <w:r>
        <w:rPr>
          <w:b/>
          <w:bCs/>
        </w:rPr>
        <w:t xml:space="preserve">5.0  SCHEDULE &amp; MILESTONES</w:t>
      </w:r>
    </w:p>
    <w:p>
      <w:pPr>
        <w:pStyle w:val="Heading2"/>
        <w:spacing w:after="110" w:before="220"/>
      </w:pPr>
      <w:r>
        <w:rPr>
          <w:b/>
          <w:bCs/>
        </w:rPr>
        <w:t xml:space="preserve">5.1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1F4E5F" w:val="clear"/>
          </w:tcPr>
          <w:p>
            <w:pPr>
              <w:spacing w:after="120"/>
            </w:pPr>
            <w:r>
              <w:rPr>
                <w:b/>
                <w:bCs/>
                <w:color w:val="FFFFFF"/>
              </w:rPr>
              <w:t xml:space="preserve">Milestone</w:t>
            </w:r>
          </w:p>
        </w:tc>
        <w:tc>
          <w:tcPr>
            <w:tcW w:type="dxa" w:w="3200"/>
            <w:shd w:fill="1F4E5F" w:val="clear"/>
          </w:tcPr>
          <w:p>
            <w:pPr>
              <w:spacing w:after="120"/>
            </w:pPr>
            <w:r>
              <w:rPr>
                <w:b/>
                <w:bCs/>
                <w:color w:val="FFFFFF"/>
              </w:rPr>
              <w:t xml:space="preserve">Target</w:t>
            </w:r>
          </w:p>
        </w:tc>
        <w:tc>
          <w:tcPr>
            <w:tcW w:type="dxa" w:w="2960"/>
            <w:shd w:fill="1F4E5F" w:val="clear"/>
          </w:tcPr>
          <w:p>
            <w:pPr>
              <w:spacing w:after="120"/>
            </w:pPr>
            <w:r>
              <w:rPr>
                <w:b/>
                <w:bCs/>
                <w:color w:val="FFFFFF"/>
              </w:rPr>
              <w:t xml:space="preserve">Outcome</w:t>
            </w:r>
          </w:p>
        </w:tc>
      </w:tr>
      <w:tr>
        <w:tc>
          <w:tcPr>
            <w:tcW w:type="dxa" w:w="3200"/>
          </w:tcPr>
          <w:p>
            <w:pPr>
              <w:spacing w:after="120"/>
            </w:pPr>
            <w:r>
              <w:rPr>
                <w:color w:val="FF0000"/>
              </w:rPr>
              <w:t xml:space="preserve">P1 M0: Environment &amp; access confirmed</w:t>
            </w:r>
          </w:p>
        </w:tc>
        <w:tc>
          <w:tcPr>
            <w:tcW w:type="dxa" w:w="3200"/>
          </w:tcPr>
          <w:p>
            <w:pPr>
              <w:spacing w:after="120"/>
            </w:pPr>
            <w:r>
              <w:rPr>
                <w:color w:val="FF0000"/>
              </w:rPr>
              <w:t xml:space="preserve">Week 1-2</w:t>
            </w:r>
          </w:p>
        </w:tc>
        <w:tc>
          <w:tcPr>
            <w:tcW w:type="dxa" w:w="2960"/>
          </w:tcPr>
          <w:p>
            <w:pPr>
              <w:spacing w:after="120"/>
            </w:pPr>
            <w:r>
              <w:rPr>
                <w:color w:val="FF0000"/>
              </w:rPr>
              <w:t xml:space="preserve">Microsoft engagement complete; Azure subscription/resource access path decided (GDIT-deployed or Microsoft-deployed)</w:t>
            </w:r>
          </w:p>
        </w:tc>
      </w:tr>
      <w:tr>
        <w:tc>
          <w:tcPr>
            <w:tcW w:type="dxa" w:w="3200"/>
          </w:tcPr>
          <w:p>
            <w:pPr>
              <w:spacing w:after="120"/>
            </w:pPr>
            <w:r>
              <w:rPr>
                <w:color w:val="FF0000"/>
              </w:rPr>
              <w:t xml:space="preserve">P1 M1: RAG baseline deployed in dev</w:t>
            </w:r>
          </w:p>
        </w:tc>
        <w:tc>
          <w:tcPr>
            <w:tcW w:type="dxa" w:w="3200"/>
          </w:tcPr>
          <w:p>
            <w:pPr>
              <w:spacing w:after="120"/>
            </w:pPr>
            <w:r>
              <w:rPr>
                <w:color w:val="FF0000"/>
              </w:rPr>
              <w:t xml:space="preserve">Week 3</w:t>
            </w:r>
          </w:p>
        </w:tc>
        <w:tc>
          <w:tcPr>
            <w:tcW w:type="dxa" w:w="2960"/>
          </w:tcPr>
          <w:p>
            <w:pPr>
              <w:spacing w:after="120"/>
            </w:pPr>
            <w:r>
              <w:rPr>
                <w:color w:val="FF0000"/>
              </w:rPr>
              <w:t xml:space="preserve">Reference template running; onboarding guide corpus ingested and indexed</w:t>
            </w:r>
          </w:p>
        </w:tc>
      </w:tr>
      <w:tr>
        <w:tc>
          <w:tcPr>
            <w:tcW w:type="dxa" w:w="3200"/>
          </w:tcPr>
          <w:p>
            <w:pPr>
              <w:spacing w:after="120"/>
            </w:pPr>
            <w:r>
              <w:rPr>
                <w:color w:val="FF0000"/>
              </w:rPr>
              <w:t xml:space="preserve">P1 M2: Portal integration</w:t>
            </w:r>
          </w:p>
        </w:tc>
        <w:tc>
          <w:tcPr>
            <w:tcW w:type="dxa" w:w="3200"/>
          </w:tcPr>
          <w:p>
            <w:pPr>
              <w:spacing w:after="120"/>
            </w:pPr>
            <w:r>
              <w:rPr>
                <w:color w:val="FF0000"/>
              </w:rPr>
              <w:t xml:space="preserve">Week 4-5</w:t>
            </w:r>
          </w:p>
        </w:tc>
        <w:tc>
          <w:tcPr>
            <w:tcW w:type="dxa" w:w="2960"/>
          </w:tcPr>
          <w:p>
            <w:pPr>
              <w:spacing w:after="120"/>
            </w:pPr>
            <w:r>
              <w:rPr>
                <w:color w:val="FF0000"/>
              </w:rPr>
              <w:t xml:space="preserve">Q&amp;A chat embedded in DEAS portal behind APIM; end-to-end flow demonstrated</w:t>
            </w:r>
          </w:p>
        </w:tc>
      </w:tr>
      <w:tr>
        <w:tc>
          <w:tcPr>
            <w:tcW w:type="dxa" w:w="3200"/>
          </w:tcPr>
          <w:p>
            <w:pPr>
              <w:spacing w:after="120"/>
            </w:pPr>
            <w:r>
              <w:rPr>
                <w:color w:val="FF0000"/>
              </w:rPr>
              <w:t xml:space="preserve">P1 M3: Evaluation complete</w:t>
            </w:r>
          </w:p>
        </w:tc>
        <w:tc>
          <w:tcPr>
            <w:tcW w:type="dxa" w:w="3200"/>
          </w:tcPr>
          <w:p>
            <w:pPr>
              <w:spacing w:after="120"/>
            </w:pPr>
            <w:r>
              <w:rPr>
                <w:color w:val="FF0000"/>
              </w:rPr>
              <w:t xml:space="preserve">Week 6-7</w:t>
            </w:r>
          </w:p>
        </w:tc>
        <w:tc>
          <w:tcPr>
            <w:tcW w:type="dxa" w:w="2960"/>
          </w:tcPr>
          <w:p>
            <w:pPr>
              <w:spacing w:after="120"/>
            </w:pPr>
            <w:r>
              <w:rPr>
                <w:color w:val="FF0000"/>
              </w:rPr>
              <w:t xml:space="preserve">Golden-set accuracy, citation, and guardrail gates passed; CET review</w:t>
            </w:r>
          </w:p>
        </w:tc>
      </w:tr>
      <w:tr>
        <w:tc>
          <w:tcPr>
            <w:tcW w:type="dxa" w:w="3200"/>
          </w:tcPr>
          <w:p>
            <w:pPr>
              <w:spacing w:after="120"/>
            </w:pPr>
            <w:r>
              <w:rPr>
                <w:color w:val="FF0000"/>
              </w:rPr>
              <w:t xml:space="preserve">P1 M4: UAT &amp; production go-live</w:t>
            </w:r>
          </w:p>
        </w:tc>
        <w:tc>
          <w:tcPr>
            <w:tcW w:type="dxa" w:w="3200"/>
          </w:tcPr>
          <w:p>
            <w:pPr>
              <w:spacing w:after="120"/>
            </w:pPr>
            <w:r>
              <w:rPr>
                <w:color w:val="FF0000"/>
              </w:rPr>
              <w:t xml:space="preserve">Week 8 (NLT end of PoP)</w:t>
            </w:r>
          </w:p>
        </w:tc>
        <w:tc>
          <w:tcPr>
            <w:tcW w:type="dxa" w:w="2960"/>
          </w:tcPr>
          <w:p>
            <w:pPr>
              <w:spacing w:after="120"/>
            </w:pPr>
            <w:r>
              <w:rPr>
                <w:color w:val="FF0000"/>
              </w:rPr>
              <w:t xml:space="preserve">CET acceptance; deflection metric live; operations handoff notes delivered</w:t>
            </w:r>
          </w:p>
        </w:tc>
      </w:tr>
    </w:tbl>
    <w:p>
      <w:pPr>
        <w:spacing w:after="120"/>
      </w:pPr>
      <w:r>
        <w:rPr>
          <w:color w:val="FF0000"/>
        </w:rPr>
        <w:t xml:space="preserve">The schedule assumes environment access is granted at Week 1-2; if access slips, integration and evaluation execute in compressed parallel workstreams. The offline validation toolset developed by GDIT preserves delivery value under any access outcome.</w:t>
      </w:r>
    </w:p>
    <w:p>
      <w:pPr>
        <w:pStyle w:val="Heading2"/>
        <w:spacing w:after="110" w:before="220"/>
      </w:pPr>
      <w:r>
        <w:rPr>
          <w:b/>
          <w:bCs/>
        </w:rPr>
        <w:t xml:space="preserve">5.2  Phase 2 – Achieving 50,000 application throughput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1F4E5F" w:val="clear"/>
          </w:tcPr>
          <w:p>
            <w:pPr>
              <w:spacing w:after="120"/>
            </w:pPr>
            <w:r>
              <w:rPr>
                <w:b/>
                <w:bCs/>
                <w:color w:val="FFFFFF"/>
              </w:rPr>
              <w:t xml:space="preserve">Milestone</w:t>
            </w:r>
          </w:p>
        </w:tc>
        <w:tc>
          <w:tcPr>
            <w:tcW w:type="dxa" w:w="3200"/>
            <w:shd w:fill="1F4E5F" w:val="clear"/>
          </w:tcPr>
          <w:p>
            <w:pPr>
              <w:spacing w:after="120"/>
            </w:pPr>
            <w:r>
              <w:rPr>
                <w:b/>
                <w:bCs/>
                <w:color w:val="FFFFFF"/>
              </w:rPr>
              <w:t xml:space="preserve">Target</w:t>
            </w:r>
          </w:p>
        </w:tc>
        <w:tc>
          <w:tcPr>
            <w:tcW w:type="dxa" w:w="2960"/>
            <w:shd w:fill="1F4E5F" w:val="clear"/>
          </w:tcPr>
          <w:p>
            <w:pPr>
              <w:spacing w:after="120"/>
            </w:pPr>
            <w:r>
              <w:rPr>
                <w:b/>
                <w:bCs/>
                <w:color w:val="FFFFFF"/>
              </w:rPr>
              <w:t xml:space="preserve">Outcome</w:t>
            </w:r>
          </w:p>
        </w:tc>
      </w:tr>
      <w:tr>
        <w:tc>
          <w:tcPr>
            <w:tcW w:type="dxa" w:w="3200"/>
          </w:tcPr>
          <w:p>
            <w:pPr>
              <w:spacing w:after="120"/>
            </w:pPr>
            <w:r>
              <w:t xml:space="preserve">P2 M1: Phase 2 MVP live</w:t>
            </w:r>
          </w:p>
        </w:tc>
        <w:tc>
          <w:tcPr>
            <w:tcW w:type="dxa" w:w="3200"/>
          </w:tcPr>
          <w:p>
            <w:pPr>
              <w:spacing w:after="120"/>
            </w:pPr>
            <w:r>
              <w:t xml:space="preserve">Month 6</w:t>
            </w:r>
          </w:p>
        </w:tc>
        <w:tc>
          <w:tcPr>
            <w:tcW w:type="dxa" w:w="2960"/>
          </w:tcPr>
          <w:p>
            <w:pPr>
              <w:spacing w:after="120"/>
            </w:pPr>
            <w:r>
              <w:t xml:space="preserve">Baseline infrastructure and AI Concierge Workflows established</w:t>
            </w:r>
          </w:p>
        </w:tc>
      </w:tr>
      <w:tr>
        <w:tc>
          <w:tcPr>
            <w:tcW w:type="dxa" w:w="3200"/>
          </w:tcPr>
          <w:p>
            <w:pPr>
              <w:spacing w:after="120"/>
            </w:pPr>
            <w:r>
              <w:t xml:space="preserve">P2 M2: Role Data Collection Agents Deployed</w:t>
            </w:r>
          </w:p>
        </w:tc>
        <w:tc>
          <w:tcPr>
            <w:tcW w:type="dxa" w:w="3200"/>
          </w:tcPr>
          <w:p>
            <w:pPr>
              <w:spacing w:after="120"/>
            </w:pPr>
            <w:r>
              <w:t xml:space="preserve">Month 12</w:t>
            </w:r>
          </w:p>
        </w:tc>
        <w:tc>
          <w:tcPr>
            <w:tcW w:type="dxa" w:w="2960"/>
          </w:tcPr>
          <w:p>
            <w:pPr>
              <w:spacing w:after="120"/>
            </w:pPr>
            <w:r>
              <w:t xml:space="preserve">50% reduction in manual role data collection time</w:t>
            </w:r>
          </w:p>
        </w:tc>
      </w:tr>
      <w:tr>
        <w:tc>
          <w:tcPr>
            <w:tcW w:type="dxa" w:w="3200"/>
          </w:tcPr>
          <w:p>
            <w:pPr>
              <w:spacing w:after="120"/>
            </w:pPr>
            <w:r>
              <w:t xml:space="preserve">P2 M3: Channel 2 Toolkit Published (Zero Touch Discovery)</w:t>
            </w:r>
          </w:p>
        </w:tc>
        <w:tc>
          <w:tcPr>
            <w:tcW w:type="dxa" w:w="3200"/>
          </w:tcPr>
          <w:p>
            <w:pPr>
              <w:spacing w:after="120"/>
            </w:pPr>
            <w:r>
              <w:t xml:space="preserve">Month 24</w:t>
            </w:r>
          </w:p>
        </w:tc>
        <w:tc>
          <w:tcPr>
            <w:tcW w:type="dxa" w:w="2960"/>
          </w:tcPr>
          <w:p>
            <w:pPr>
              <w:spacing w:after="120"/>
            </w:pPr>
            <w:r>
              <w:t xml:space="preserve">~70% reduction for complex applications</w:t>
            </w:r>
          </w:p>
        </w:tc>
      </w:tr>
      <w:tr>
        <w:tc>
          <w:tcPr>
            <w:tcW w:type="dxa" w:w="3200"/>
          </w:tcPr>
          <w:p>
            <w:pPr>
              <w:spacing w:after="120"/>
            </w:pPr>
            <w:r>
              <w:t xml:space="preserve">P2 M4: SoD &amp; Normalization Reduce Rework</w:t>
            </w:r>
          </w:p>
        </w:tc>
        <w:tc>
          <w:tcPr>
            <w:tcW w:type="dxa" w:w="3200"/>
          </w:tcPr>
          <w:p>
            <w:pPr>
              <w:spacing w:after="120"/>
            </w:pPr>
            <w:r>
              <w:t xml:space="preserve">Month 24</w:t>
            </w:r>
          </w:p>
        </w:tc>
        <w:tc>
          <w:tcPr>
            <w:tcW w:type="dxa" w:w="2960"/>
          </w:tcPr>
          <w:p>
            <w:pPr>
              <w:spacing w:after="120"/>
            </w:pPr>
            <w:r>
              <w:t xml:space="preserve">~40% reduction in revision cycles</w:t>
            </w:r>
          </w:p>
        </w:tc>
      </w:tr>
      <w:tr>
        <w:tc>
          <w:tcPr>
            <w:tcW w:type="dxa" w:w="3200"/>
          </w:tcPr>
          <w:p>
            <w:pPr>
              <w:spacing w:after="120"/>
            </w:pPr>
            <w:r>
              <w:t xml:space="preserve">P2 M5: AI Tuning &amp; Scale Optimization</w:t>
            </w:r>
          </w:p>
        </w:tc>
        <w:tc>
          <w:tcPr>
            <w:tcW w:type="dxa" w:w="3200"/>
          </w:tcPr>
          <w:p>
            <w:pPr>
              <w:spacing w:after="120"/>
            </w:pPr>
            <w:r>
              <w:t xml:space="preserve">Month 36</w:t>
            </w:r>
          </w:p>
        </w:tc>
        <w:tc>
          <w:tcPr>
            <w:tcW w:type="dxa" w:w="2960"/>
          </w:tcPr>
          <w:p>
            <w:pPr>
              <w:spacing w:after="120"/>
            </w:pPr>
            <w:r>
              <w:t xml:space="preserve">Full-cycle onboarding time optimized for 50k+ app onboarding workflows with 99.9% system uptime. Zero touch onboarding achieved for 80% of simple applications.</w:t>
            </w:r>
          </w:p>
        </w:tc>
      </w:tr>
    </w:tbl>
    <w:p>
      <w:pPr>
        <w:pStyle w:val="Heading1"/>
        <w:spacing w:after="140" w:before="280"/>
      </w:pPr>
      <w:r>
        <w:rPr>
          <w:b/>
          <w:bCs/>
        </w:rPr>
        <w:t xml:space="preserve">6.0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1F4E5F" w:val="clear"/>
          </w:tcPr>
          <w:p>
            <w:pPr>
              <w:spacing w:after="120"/>
            </w:pPr>
            <w:r>
              <w:rPr>
                <w:b/>
                <w:bCs/>
                <w:color w:val="FFFFFF"/>
              </w:rPr>
              <w:t xml:space="preserve">Risk</w:t>
            </w:r>
          </w:p>
        </w:tc>
        <w:tc>
          <w:tcPr>
            <w:tcW w:type="dxa" w:w="3200"/>
            <w:shd w:fill="1F4E5F" w:val="clear"/>
          </w:tcPr>
          <w:p>
            <w:pPr>
              <w:spacing w:after="120"/>
            </w:pPr>
            <w:r>
              <w:rPr>
                <w:b/>
                <w:bCs/>
                <w:color w:val="FFFFFF"/>
              </w:rPr>
              <w:t xml:space="preserve">Likelihood / Impact</w:t>
            </w:r>
          </w:p>
        </w:tc>
        <w:tc>
          <w:tcPr>
            <w:tcW w:type="dxa" w:w="2960"/>
            <w:shd w:fill="1F4E5F" w:val="clear"/>
          </w:tcPr>
          <w:p>
            <w:pPr>
              <w:spacing w:after="120"/>
            </w:pPr>
            <w:r>
              <w:rPr>
                <w:b/>
                <w:bCs/>
                <w:color w:val="FFFFFF"/>
              </w:rPr>
              <w:t xml:space="preserve">Mitigation</w:t>
            </w:r>
          </w:p>
        </w:tc>
      </w:tr>
      <w:tr>
        <w:tc>
          <w:tcPr>
            <w:tcW w:type="dxa" w:w="3200"/>
          </w:tcPr>
          <w:p>
            <w:pPr>
              <w:spacing w:after="120"/>
            </w:pPr>
            <w:r>
              <w:rPr>
                <w:color w:val="FF0000"/>
              </w:rPr>
              <w:t xml:space="preserve">Azure tenant access delayed or constrained</w:t>
            </w:r>
          </w:p>
        </w:tc>
        <w:tc>
          <w:tcPr>
            <w:tcW w:type="dxa" w:w="3200"/>
          </w:tcPr>
          <w:p>
            <w:pPr>
              <w:spacing w:after="120"/>
            </w:pPr>
            <w:r>
              <w:rPr>
                <w:color w:val="FF0000"/>
              </w:rPr>
              <w:t xml:space="preserve">Medium / High</w:t>
            </w:r>
          </w:p>
        </w:tc>
        <w:tc>
          <w:tcPr>
            <w:tcW w:type="dxa" w:w="2960"/>
          </w:tcPr>
          <w:p>
            <w:pPr>
              <w:spacing w:after="120"/>
            </w:pPr>
            <w:r>
              <w:rPr>
                <w:color w:val="FF0000"/>
              </w:rPr>
              <w:t xml:space="preserve">Dual-path plan: Microsoft deploys services while GDIT performs integration, prompt engineering, and evaluation; offline validation toolset preserves PoP value</w:t>
            </w:r>
          </w:p>
        </w:tc>
      </w:tr>
      <w:tr>
        <w:tc>
          <w:tcPr>
            <w:tcW w:type="dxa" w:w="3200"/>
          </w:tcPr>
          <w:p>
            <w:pPr>
              <w:spacing w:after="120"/>
            </w:pPr>
            <w:r>
              <w:rPr>
                <w:color w:val="FF0000"/>
              </w:rPr>
              <w:t xml:space="preserve">Required models unavailable in the IL5 region (GPT-4o / embeddings)</w:t>
            </w:r>
          </w:p>
        </w:tc>
        <w:tc>
          <w:tcPr>
            <w:tcW w:type="dxa" w:w="3200"/>
          </w:tcPr>
          <w:p>
            <w:pPr>
              <w:spacing w:after="120"/>
            </w:pPr>
            <w:r>
              <w:rPr>
                <w:color w:val="FF0000"/>
              </w:rPr>
              <w:t xml:space="preserve">Medium / Medium</w:t>
            </w:r>
          </w:p>
        </w:tc>
        <w:tc>
          <w:tcPr>
            <w:tcW w:type="dxa" w:w="2960"/>
          </w:tcPr>
          <w:p>
            <w:pPr>
              <w:spacing w:after="120"/>
            </w:pPr>
            <w:r>
              <w:rPr>
                <w:color w:val="FF0000"/>
              </w:rPr>
              <w:t xml:space="preserve">Confirm model catalog and region during the Microsoft engagement; substitute approved deployments; the architecture is model-agnostic</w:t>
            </w:r>
          </w:p>
        </w:tc>
      </w:tr>
      <w:tr>
        <w:tc>
          <w:tcPr>
            <w:tcW w:type="dxa" w:w="3200"/>
          </w:tcPr>
          <w:p>
            <w:pPr>
              <w:spacing w:after="120"/>
            </w:pPr>
            <w:r>
              <w:rPr>
                <w:color w:val="FF0000"/>
              </w:rPr>
              <w:t xml:space="preserve">Portal change control (Blazor application third-party maintained)</w:t>
            </w:r>
          </w:p>
        </w:tc>
        <w:tc>
          <w:tcPr>
            <w:tcW w:type="dxa" w:w="3200"/>
          </w:tcPr>
          <w:p>
            <w:pPr>
              <w:spacing w:after="120"/>
            </w:pPr>
            <w:r>
              <w:rPr>
                <w:color w:val="FF0000"/>
              </w:rPr>
              <w:t xml:space="preserve">Medium / Medium</w:t>
            </w:r>
          </w:p>
        </w:tc>
        <w:tc>
          <w:tcPr>
            <w:tcW w:type="dxa" w:w="2960"/>
          </w:tcPr>
          <w:p>
            <w:pPr>
              <w:spacing w:after="120"/>
            </w:pPr>
            <w:r>
              <w:rPr>
                <w:color w:val="FF0000"/>
              </w:rPr>
              <w:t xml:space="preserve">Minimal-footprint embed coordinated through the Government; fallback is a linked chat page within the portal navigation</w:t>
            </w:r>
          </w:p>
        </w:tc>
      </w:tr>
      <w:tr>
        <w:tc>
          <w:tcPr>
            <w:tcW w:type="dxa" w:w="3200"/>
          </w:tcPr>
          <w:p>
            <w:pPr>
              <w:spacing w:after="120"/>
            </w:pPr>
            <w:r>
              <w:rPr>
                <w:color w:val="FF0000"/>
              </w:rPr>
              <w:t xml:space="preserve">Schedule compression (2-4 effective build weeks)</w:t>
            </w:r>
          </w:p>
        </w:tc>
        <w:tc>
          <w:tcPr>
            <w:tcW w:type="dxa" w:w="3200"/>
          </w:tcPr>
          <w:p>
            <w:pPr>
              <w:spacing w:after="120"/>
            </w:pPr>
            <w:r>
              <w:rPr>
                <w:color w:val="FF0000"/>
              </w:rPr>
              <w:t xml:space="preserve">High / Medium</w:t>
            </w:r>
          </w:p>
        </w:tc>
        <w:tc>
          <w:tcPr>
            <w:tcW w:type="dxa" w:w="2960"/>
          </w:tcPr>
          <w:p>
            <w:pPr>
              <w:spacing w:after="120"/>
            </w:pPr>
            <w:r>
              <w:rPr>
                <w:color w:val="FF0000"/>
              </w:rPr>
              <w:t xml:space="preserve">Template reuse instead of custom build; parallel workstreams; Phase 1 scope locked to the concierge bot</w:t>
            </w:r>
          </w:p>
        </w:tc>
      </w:tr>
      <w:tr>
        <w:tc>
          <w:tcPr>
            <w:tcW w:type="dxa" w:w="3200"/>
          </w:tcPr>
          <w:p>
            <w:pPr>
              <w:spacing w:after="120"/>
            </w:pPr>
            <w:r>
              <w:rPr>
                <w:color w:val="FF0000"/>
              </w:rPr>
              <w:t xml:space="preserve">Incorrect or hallucinated guidance</w:t>
            </w:r>
          </w:p>
        </w:tc>
        <w:tc>
          <w:tcPr>
            <w:tcW w:type="dxa" w:w="3200"/>
          </w:tcPr>
          <w:p>
            <w:pPr>
              <w:spacing w:after="120"/>
            </w:pPr>
            <w:r>
              <w:rPr>
                <w:color w:val="FF0000"/>
              </w:rPr>
              <w:t xml:space="preserve">Medium / High</w:t>
            </w:r>
          </w:p>
        </w:tc>
        <w:tc>
          <w:tcPr>
            <w:tcW w:type="dxa" w:w="2960"/>
          </w:tcPr>
          <w:p>
            <w:pPr>
              <w:spacing w:after="120"/>
            </w:pPr>
            <w:r>
              <w:rPr>
                <w:color w:val="FF0000"/>
              </w:rPr>
              <w:t xml:space="preserve">Grounded RAG with mandatory citations; low-confidence routing to CET; advisory-only posture; evaluation gates before promotion</w:t>
            </w:r>
          </w:p>
        </w:tc>
      </w:tr>
      <w:tr>
        <w:tc>
          <w:tcPr>
            <w:tcW w:type="dxa" w:w="3200"/>
          </w:tcPr>
          <w:p>
            <w:pPr>
              <w:spacing w:after="120"/>
            </w:pPr>
            <w:r>
              <w:rPr>
                <w:color w:val="FF0000"/>
              </w:rPr>
              <w:t xml:space="preserve">Personnel access delays (CAC / account provisioning)</w:t>
            </w:r>
          </w:p>
        </w:tc>
        <w:tc>
          <w:tcPr>
            <w:tcW w:type="dxa" w:w="3200"/>
          </w:tcPr>
          <w:p>
            <w:pPr>
              <w:spacing w:after="120"/>
            </w:pPr>
            <w:r>
              <w:rPr>
                <w:color w:val="FF0000"/>
              </w:rPr>
              <w:t xml:space="preserve">Medium / Medium</w:t>
            </w:r>
          </w:p>
        </w:tc>
        <w:tc>
          <w:tcPr>
            <w:tcW w:type="dxa" w:w="2960"/>
          </w:tcPr>
          <w:p>
            <w:pPr>
              <w:spacing w:after="120"/>
            </w:pPr>
            <w:r>
              <w:rPr>
                <w:color w:val="FF0000"/>
              </w:rPr>
              <w:t xml:space="preserve">Interim virtual desktop access; requests submitted through the program; environment-independent tasks sequenced first</w:t>
            </w:r>
          </w:p>
        </w:tc>
      </w:tr>
      <w:tr>
        <w:tc>
          <w:tcPr>
            <w:tcW w:type="dxa" w:w="3200"/>
          </w:tcPr>
          <w:p>
            <w:pPr>
              <w:spacing w:after="120"/>
            </w:pPr>
            <w:r>
              <w:rPr>
                <w:color w:val="FF0000"/>
              </w:rPr>
              <w:t xml:space="preserve">Corpus gaps or outdated guide content</w:t>
            </w:r>
          </w:p>
        </w:tc>
        <w:tc>
          <w:tcPr>
            <w:tcW w:type="dxa" w:w="3200"/>
          </w:tcPr>
          <w:p>
            <w:pPr>
              <w:spacing w:after="120"/>
            </w:pPr>
            <w:r>
              <w:rPr>
                <w:color w:val="FF0000"/>
              </w:rPr>
              <w:t xml:space="preserve">Low / Medium</w:t>
            </w:r>
          </w:p>
        </w:tc>
        <w:tc>
          <w:tcPr>
            <w:tcW w:type="dxa" w:w="2960"/>
          </w:tcPr>
          <w:p>
            <w:pPr>
              <w:spacing w:after="120"/>
            </w:pPr>
            <w:r>
              <w:rPr>
                <w:color w:val="FF0000"/>
              </w:rPr>
              <w:t xml:space="preserve">Publish-date monitoring with manual re-ingestion; CET content curation; re-ingestion automation in Phase 2</w:t>
            </w:r>
          </w:p>
        </w:tc>
      </w:tr>
      <w:tr>
        <w:tc>
          <w:tcPr>
            <w:tcW w:type="dxa" w:w="3200"/>
          </w:tcPr>
          <w:p>
            <w:pPr>
              <w:spacing w:after="120"/>
            </w:pPr>
            <w:r>
              <w:rPr>
                <w:color w:val="FF0000"/>
              </w:rPr>
              <w:t xml:space="preserve">Infrastructure instability under volume (SailPoint/NetScale)</w:t>
            </w:r>
          </w:p>
        </w:tc>
        <w:tc>
          <w:tcPr>
            <w:tcW w:type="dxa" w:w="3200"/>
          </w:tcPr>
          <w:p>
            <w:pPr>
              <w:spacing w:after="120"/>
            </w:pPr>
            <w:r>
              <w:rPr>
                <w:color w:val="FF0000"/>
              </w:rPr>
              <w:t xml:space="preserve">Medium / Medium</w:t>
            </w:r>
          </w:p>
        </w:tc>
        <w:tc>
          <w:tcPr>
            <w:tcW w:type="dxa" w:w="2960"/>
          </w:tcPr>
          <w:p>
            <w:pPr>
              <w:spacing w:after="120"/>
            </w:pPr>
            <w:r>
              <w:rPr>
                <w:color w:val="FF0000"/>
              </w:rPr>
              <w:t xml:space="preserve">Capacity and performance planning incorporated per phase in the roadmap; load characteristics reviewed at monthly milestone reviews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2026-07-22T02:43:11.105Z</dcterms:created>
  <dcterms:modified xsi:type="dcterms:W3CDTF">2026-07-22T02:43:11.139Z</dcterms:modified>
</cp:coreProperties>
</file>

<file path=docProps/custom.xml><?xml version="1.0" encoding="utf-8"?>
<Properties xmlns="http://schemas.openxmlformats.org/officeDocument/2006/custom-properties" xmlns:vt="http://schemas.openxmlformats.org/officeDocument/2006/docPropsVTypes"/>
</file>