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" w:before="0"/>
      </w:pPr>
      <w:r>
        <w:rPr>
          <w:rFonts w:ascii="Segoe UI" w:cs="Segoe UI" w:eastAsia="Segoe UI" w:hAnsi="Segoe UI"/>
          <w:b/>
          <w:bCs/>
          <w:color w:val="1A365D"/>
          <w:sz w:val="23"/>
          <w:szCs w:val="23"/>
        </w:rPr>
        <w:t xml:space="preserve">SECURE AUTHENTICATION &amp; ACCESS MANAGEMENT SYSTEM (SAAMS)</w:t>
      </w:r>
    </w:p>
    <w:p>
      <w:pPr>
        <w:spacing w:after="50" w:before="0"/>
      </w:pPr>
      <w:r>
        <w:rPr>
          <w:rFonts w:ascii="Segoe UI" w:cs="Segoe UI" w:eastAsia="Segoe UI" w:hAnsi="Segoe UI"/>
          <w:b/>
          <w:bCs/>
          <w:color w:val="2B6CB0"/>
          <w:sz w:val="16"/>
          <w:szCs w:val="16"/>
        </w:rPr>
        <w:t xml:space="preserve">Project Implementation Specification &amp; Architecture Baseline Document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2"/>
        <w:gridCol w:w="2582"/>
        <w:gridCol w:w="2582"/>
        <w:gridCol w:w="2582"/>
      </w:tblGrid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4"/>
                <w:szCs w:val="14"/>
              </w:rPr>
              <w:t xml:space="preserve">Document ID: SAAMS-IMP-2026-V1.0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4"/>
                <w:szCs w:val="14"/>
              </w:rPr>
              <w:t xml:space="preserve">Standard: ISO/IEC 27001 &amp; OWASP ASVS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4"/>
                <w:szCs w:val="14"/>
              </w:rPr>
              <w:t xml:space="preserve">Format: Official A4 Compliant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4"/>
                <w:szCs w:val="14"/>
              </w:rPr>
              <w:t xml:space="preserve">Effective Date: October 2026</w:t>
            </w:r>
          </w:p>
        </w:tc>
      </w:tr>
    </w:tbl>
    <w:p>
      <w:pPr>
        <w:pBdr>
          <w:left w:val="single" w:color="2B6CB0" w:sz="24" w:space="4"/>
        </w:pBdr>
        <w:spacing w:after="35" w:before="90"/>
      </w:pPr>
      <w:r>
        <w:rPr>
          <w:rFonts w:ascii="Segoe UI" w:cs="Segoe UI" w:eastAsia="Segoe UI" w:hAnsi="Segoe UI"/>
          <w:b/>
          <w:bCs/>
          <w:color w:val="1A365D"/>
          <w:sz w:val="18"/>
          <w:szCs w:val="18"/>
        </w:rPr>
        <w:t xml:space="preserve">1. PROJECT TITLE, PURPOSE &amp; BACKGROUND SCOPE</w:t>
      </w:r>
    </w:p>
    <w:p>
      <w:pPr>
        <w:spacing w:after="35" w:before="0" w:line="225"/>
        <w:jc w:val="both"/>
      </w:pPr>
      <w:r>
        <w:rPr>
          <w:rFonts w:ascii="Segoe UI" w:cs="Segoe UI" w:eastAsia="Segoe UI" w:hAnsi="Segoe UI"/>
          <w:sz w:val="15"/>
          <w:szCs w:val="15"/>
        </w:rPr>
        <w:t xml:space="preserve">The Secure Authentication &amp; Access Management System (SAAMS) delivers an enterprise-grade identity governance, multi-factor credential authentication, and role-governed authorization framework. The system is engineered to secure modern cloud and on-premises enterprise portals against credential theft, lateral traversal, privilege escalation, and data loss.
</w:t>
      </w:r>
      <w:r>
        <w:rPr>
          <w:rFonts w:ascii="Segoe UI" w:cs="Segoe UI" w:eastAsia="Segoe UI" w:hAnsi="Segoe UI"/>
          <w:b/>
          <w:bCs/>
          <w:sz w:val="15"/>
          <w:szCs w:val="15"/>
        </w:rPr>
        <w:t xml:space="preserve">Context &amp; Codebase Origin: </w:t>
      </w:r>
      <w:r>
        <w:rPr>
          <w:rFonts w:ascii="Segoe UI" w:cs="Segoe UI" w:eastAsia="Segoe UI" w:hAnsi="Segoe UI"/>
          <w:sz w:val="15"/>
          <w:szCs w:val="15"/>
        </w:rPr>
        <w:t xml:space="preserve">The presentation foundation originates from the project repository containing an interactive 3D flip-card client interface (index.html, style.css, and script.js). This document formalizes the production architecture binding that presentation tier to a hardened multi-tier backend, an on-premises transactional database, and an actively verified encrypted offsite disaster recovery infrastructure backed by Supabase Cloud.</w:t>
      </w:r>
    </w:p>
    <w:p>
      <w:pPr>
        <w:pBdr>
          <w:left w:val="single" w:color="2B6CB0" w:sz="24" w:space="4"/>
        </w:pBdr>
        <w:spacing w:after="35" w:before="90"/>
      </w:pPr>
      <w:r>
        <w:rPr>
          <w:rFonts w:ascii="Segoe UI" w:cs="Segoe UI" w:eastAsia="Segoe UI" w:hAnsi="Segoe UI"/>
          <w:b/>
          <w:bCs/>
          <w:color w:val="1A365D"/>
          <w:sz w:val="18"/>
          <w:szCs w:val="18"/>
        </w:rPr>
        <w:t xml:space="preserve">2. SECURITY OBJECTIVES &amp; THREAT MITIGATION MODEL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3"/>
        <w:gridCol w:w="5163"/>
      </w:tblGrid>
      <w:tr>
        <w:tc>
          <w:tcPr>
            <w:tcW w:type="pct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15" w:before="0"/>
            </w:pPr>
            <w:r>
              <w:rPr>
                <w:b/>
                <w:bCs/>
                <w:color w:val="1A365D"/>
                <w:sz w:val="15"/>
                <w:szCs w:val="15"/>
              </w:rPr>
              <w:t xml:space="preserve">Primary Security Objectives:</w:t>
            </w:r>
          </w:p>
          <w:p>
            <w:pPr>
              <w:spacing w:after="10" w:before="0" w:line="215"/>
            </w:pPr>
            <w:r>
              <w:rPr>
                <w:b/>
                <w:bCs/>
                <w:sz w:val="14"/>
                <w:szCs w:val="14"/>
              </w:rPr>
              <w:t xml:space="preserve">• Confidentiality: </w:t>
            </w:r>
            <w:r>
              <w:rPr>
                <w:sz w:val="14"/>
                <w:szCs w:val="14"/>
              </w:rPr>
              <w:t xml:space="preserve">Zero plaintext credentials at rest, in transit, or in memory.
</w:t>
            </w:r>
            <w:r>
              <w:rPr>
                <w:b/>
                <w:bCs/>
                <w:sz w:val="14"/>
                <w:szCs w:val="14"/>
              </w:rPr>
              <w:t xml:space="preserve">• Integrity: </w:t>
            </w:r>
            <w:r>
              <w:rPr>
                <w:sz w:val="14"/>
                <w:szCs w:val="14"/>
              </w:rPr>
              <w:t xml:space="preserve">Cryptographic token verification and immutable audit trails.
</w:t>
            </w:r>
            <w:r>
              <w:rPr>
                <w:b/>
                <w:bCs/>
                <w:sz w:val="14"/>
                <w:szCs w:val="14"/>
              </w:rPr>
              <w:t xml:space="preserve">• Availability: </w:t>
            </w:r>
            <w:r>
              <w:rPr>
                <w:sz w:val="14"/>
                <w:szCs w:val="14"/>
              </w:rPr>
              <w:t xml:space="preserve">Local low-latency ACID persistence backed by cloud failover.</w:t>
            </w:r>
          </w:p>
        </w:tc>
        <w:tc>
          <w:tcPr>
            <w:tcW w:type="pct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15" w:before="0"/>
            </w:pPr>
            <w:r>
              <w:rPr>
                <w:b/>
                <w:bCs/>
                <w:color w:val="1A365D"/>
                <w:sz w:val="15"/>
                <w:szCs w:val="15"/>
              </w:rPr>
              <w:t xml:space="preserve">Threat Surface Mitigation:</w:t>
            </w:r>
          </w:p>
          <w:p>
            <w:pPr>
              <w:spacing w:after="10" w:before="0" w:line="215"/>
            </w:pPr>
            <w:r>
              <w:rPr>
                <w:b/>
                <w:bCs/>
                <w:sz w:val="14"/>
                <w:szCs w:val="14"/>
              </w:rPr>
              <w:t xml:space="preserve">• OWASP Top 10: </w:t>
            </w:r>
            <w:r>
              <w:rPr>
                <w:sz w:val="14"/>
                <w:szCs w:val="14"/>
              </w:rPr>
              <w:t xml:space="preserve">100% prepared statements (SQLi proof); CSRF tokens.
</w:t>
            </w:r>
            <w:r>
              <w:rPr>
                <w:b/>
                <w:bCs/>
                <w:sz w:val="14"/>
                <w:szCs w:val="14"/>
              </w:rPr>
              <w:t xml:space="preserve">• Credential Attack Defense: </w:t>
            </w:r>
            <w:r>
              <w:rPr>
                <w:sz w:val="14"/>
                <w:szCs w:val="14"/>
              </w:rPr>
              <w:t xml:space="preserve">Argon2id + isolated secret pepper halts GPU cracking.
</w:t>
            </w:r>
            <w:r>
              <w:rPr>
                <w:b/>
                <w:bCs/>
                <w:sz w:val="14"/>
                <w:szCs w:val="14"/>
              </w:rPr>
              <w:t xml:space="preserve">• Brute Force &amp; Flooding: </w:t>
            </w:r>
            <w:r>
              <w:rPr>
                <w:sz w:val="14"/>
                <w:szCs w:val="14"/>
              </w:rPr>
              <w:t xml:space="preserve">IP-adaptive throttling (max 5 failed attempts per 15 mins).</w:t>
            </w:r>
          </w:p>
        </w:tc>
      </w:tr>
    </w:tbl>
    <w:p>
      <w:pPr>
        <w:pBdr>
          <w:left w:val="single" w:color="2B6CB0" w:sz="24" w:space="4"/>
        </w:pBdr>
        <w:spacing w:after="35" w:before="90"/>
      </w:pPr>
      <w:r>
        <w:rPr>
          <w:rFonts w:ascii="Segoe UI" w:cs="Segoe UI" w:eastAsia="Segoe UI" w:hAnsi="Segoe UI"/>
          <w:b/>
          <w:bCs/>
          <w:color w:val="1A365D"/>
          <w:sz w:val="18"/>
          <w:szCs w:val="18"/>
        </w:rPr>
        <w:t xml:space="preserve">3. SYSTEM ARCHITECTURE &amp; COMPONENT TECHNOLOGY STACK</w:t>
      </w:r>
    </w:p>
    <w:p>
      <w:pPr>
        <w:spacing w:after="30" w:before="0" w:line="235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D3748"/>
          <w:sz w:val="15"/>
          <w:szCs w:val="15"/>
        </w:rPr>
        <w:t xml:space="preserve">SAAMS employs a segregated four-tier architecture: Presentation Tier, API Gateway &amp; Auth Engine, Local Transactional Storage, and Encrypted Cloud Backup &amp; Disaster Recovery.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2"/>
        <w:gridCol w:w="826"/>
        <w:gridCol w:w="2685"/>
        <w:gridCol w:w="723"/>
        <w:gridCol w:w="2272"/>
        <w:gridCol w:w="826"/>
        <w:gridCol w:w="2272"/>
      </w:tblGrid>
      <w:tr>
        <w:tc>
          <w:tcPr>
            <w:tcW w:type="pct" w:w="11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color w:val="2B6CB0"/>
                <w:sz w:val="13"/>
                <w:szCs w:val="13"/>
              </w:rPr>
              <w:t xml:space="preserve">FRONTEND CLIENT</w:t>
            </w:r>
          </w:p>
          <w:p>
            <w:pPr>
              <w:jc w:val="center"/>
            </w:pPr>
            <w:r>
              <w:rPr>
                <w:color w:val="2D3748"/>
                <w:sz w:val="12"/>
                <w:szCs w:val="12"/>
              </w:rPr>
              <w:t xml:space="preserve">HTML5 / CSS3 / ES6
Dual 3D Flip Card UI
[Verified in Repo]</w:t>
            </w:r>
          </w:p>
        </w:tc>
        <w:tc>
          <w:tcPr>
            <w:tcW w:type="pct" w:w="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color w:val="718096"/>
                <w:sz w:val="11"/>
                <w:szCs w:val="11"/>
              </w:rPr>
              <w:t xml:space="preserve">⇄
HTTPS/TLS 1.3</w:t>
            </w:r>
          </w:p>
        </w:tc>
        <w:tc>
          <w:tcPr>
            <w:tcW w:type="pct" w:w="13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color w:val="805AD5"/>
                <w:sz w:val="13"/>
                <w:szCs w:val="13"/>
              </w:rPr>
              <w:t xml:space="preserve">AUTH GATEWAY API</w:t>
            </w:r>
          </w:p>
          <w:p>
            <w:pPr>
              <w:jc w:val="center"/>
            </w:pPr>
            <w:r>
              <w:rPr>
                <w:color w:val="2D3748"/>
                <w:sz w:val="12"/>
                <w:szCs w:val="12"/>
              </w:rPr>
              <w:t xml:space="preserve">Node.js / Express
Argon2id + 2FA Engine
RBAC Middleware</w:t>
            </w:r>
          </w:p>
        </w:tc>
        <w:tc>
          <w:tcPr>
            <w:tcW w:type="pct" w:w="35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color w:val="718096"/>
                <w:sz w:val="11"/>
                <w:szCs w:val="11"/>
              </w:rPr>
              <w:t xml:space="preserve">⇄
TLS / IPC</w:t>
            </w:r>
          </w:p>
        </w:tc>
        <w:tc>
          <w:tcPr>
            <w:tcW w:type="pct" w:w="11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color w:val="276749"/>
                <w:sz w:val="13"/>
                <w:szCs w:val="13"/>
              </w:rPr>
              <w:t xml:space="preserve">LOCAL DB (ACID)</w:t>
            </w:r>
          </w:p>
          <w:p>
            <w:pPr>
              <w:jc w:val="center"/>
            </w:pPr>
            <w:r>
              <w:rPr>
                <w:color w:val="2D3748"/>
                <w:sz w:val="12"/>
                <w:szCs w:val="12"/>
              </w:rPr>
              <w:t xml:space="preserve">PostgreSQL / SQLite
WAL Mode &amp; Pools
&lt;10ms Latency</w:t>
            </w:r>
          </w:p>
        </w:tc>
        <w:tc>
          <w:tcPr>
            <w:tcW w:type="pct" w:w="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FFF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color w:val="718096"/>
                <w:sz w:val="11"/>
                <w:szCs w:val="11"/>
              </w:rPr>
              <w:t xml:space="preserve">→
AES-256-GCM</w:t>
            </w:r>
          </w:p>
        </w:tc>
        <w:tc>
          <w:tcPr>
            <w:tcW w:type="pct" w:w="11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jc w:val="center"/>
            </w:pPr>
            <w:r>
              <w:rPr>
                <w:b/>
                <w:bCs/>
                <w:color w:val="C05621"/>
                <w:sz w:val="13"/>
                <w:szCs w:val="13"/>
              </w:rPr>
              <w:t xml:space="preserve">SUPABASE CLOUD</w:t>
            </w:r>
          </w:p>
          <w:p>
            <w:pPr>
              <w:jc w:val="center"/>
            </w:pPr>
            <w:r>
              <w:rPr>
                <w:color w:val="2D3748"/>
                <w:sz w:val="12"/>
                <w:szCs w:val="12"/>
              </w:rPr>
              <w:t xml:space="preserve">yzjalvfrgfvyjknpjrju
Bucket: encrypted-backups
[Verified Drill]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5"/>
        <w:gridCol w:w="3614"/>
        <w:gridCol w:w="4647"/>
      </w:tblGrid>
      <w:tr>
        <w:tc>
          <w:tcPr>
            <w:tcW w:type="pct" w:w="1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2B6CB0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</w:rPr>
              <w:t xml:space="preserve">System Tier</w:t>
            </w:r>
          </w:p>
        </w:tc>
        <w:tc>
          <w:tcPr>
            <w:tcW w:type="pct" w:w="175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2B6CB0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</w:rPr>
              <w:t xml:space="preserve">Selected Technology Stack</w:t>
            </w:r>
          </w:p>
        </w:tc>
        <w:tc>
          <w:tcPr>
            <w:tcW w:type="pct" w:w="225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2B6CB0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</w:rPr>
              <w:t xml:space="preserve">Security Controls &amp; Architectural Responsibilities</w:t>
            </w:r>
          </w:p>
        </w:tc>
      </w:tr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5"/>
                <w:szCs w:val="15"/>
              </w:rPr>
              <w:t xml:space="preserve">Frontend Tier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5"/>
                <w:szCs w:val="15"/>
              </w:rPr>
              <w:t xml:space="preserve">HTML5, CSS3 (Transforms &amp; Neon Glow), Vanilla JS, FontAwesome 7.3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5"/>
                <w:szCs w:val="15"/>
              </w:rPr>
              <w:t xml:space="preserve">Client credential capture, 3D animated flip interface, input constraints, dynamic password toggle.</w:t>
            </w:r>
          </w:p>
        </w:tc>
      </w:tr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5"/>
                <w:szCs w:val="15"/>
              </w:rPr>
              <w:t xml:space="preserve">Backend Tier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5"/>
                <w:szCs w:val="15"/>
              </w:rPr>
              <w:t xml:space="preserve">Node.js runtime, Express.js REST API, Argon2id, Speakeasy TOTP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5"/>
                <w:szCs w:val="15"/>
              </w:rPr>
              <w:t xml:space="preserve">State machine, token generation, 4-tier RBAC middleware, rate limiting, and HSM pepper isolation.</w:t>
            </w:r>
          </w:p>
        </w:tc>
      </w:tr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5"/>
                <w:szCs w:val="15"/>
              </w:rPr>
              <w:t xml:space="preserve">Local Database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5"/>
                <w:szCs w:val="15"/>
              </w:rPr>
              <w:t xml:space="preserve">PostgreSQL 16 / SQLite 3 WAL Mode, Parameterized pg-pool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5"/>
                <w:szCs w:val="15"/>
              </w:rPr>
              <w:t xml:space="preserve">Low-latency transactional ACID persistence, local residency, prepared queries, and role-based views.</w:t>
            </w:r>
          </w:p>
        </w:tc>
      </w:tr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5"/>
                <w:szCs w:val="15"/>
              </w:rPr>
              <w:t xml:space="preserve">Cloud Disaster Recovery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5"/>
                <w:szCs w:val="15"/>
              </w:rPr>
              <w:t xml:space="preserve">Supabase Cloud (yzjalvfrgfvyjknpjrju.supabase.co), AES-256-GCM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5"/>
                <w:szCs w:val="15"/>
              </w:rPr>
              <w:t xml:space="preserve">Client envelope encryption, automated snapshot sync to encrypted-backups bucket, SHA-256 match, PITR drills.</w:t>
            </w:r>
          </w:p>
        </w:tc>
      </w:tr>
    </w:tbl>
    <w:p>
      <w:pPr>
        <w:pBdr>
          <w:left w:val="single" w:color="2B6CB0" w:sz="24" w:space="4"/>
        </w:pBdr>
        <w:spacing w:after="35" w:before="90"/>
      </w:pPr>
      <w:r>
        <w:rPr>
          <w:rFonts w:ascii="Segoe UI" w:cs="Segoe UI" w:eastAsia="Segoe UI" w:hAnsi="Segoe UI"/>
          <w:b/>
          <w:bCs/>
          <w:color w:val="1A365D"/>
          <w:sz w:val="18"/>
          <w:szCs w:val="18"/>
        </w:rPr>
        <w:t xml:space="preserve">4. IMPLEMENTATION STATUS AUDIT (REPOSITORY VERIFICATION VS. PLANNED BACKEND)</w:t>
      </w:r>
      <w:r>
        <w:rPr>
          <w:rFonts w:ascii="Segoe UI" w:cs="Segoe UI" w:eastAsia="Segoe UI" w:hAnsi="Segoe UI"/>
          <w:i/>
          <w:iCs/>
          <w:color w:val="718096"/>
          <w:sz w:val="15"/>
          <w:szCs w:val="15"/>
        </w:rPr>
        <w:t xml:space="preserve">    [ Audited Oct 2026 ]</w:t>
      </w:r>
    </w:p>
    <w:p>
      <w:pPr>
        <w:spacing w:after="25" w:before="0" w:line="235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D3748"/>
          <w:sz w:val="15"/>
          <w:szCs w:val="15"/>
        </w:rPr>
        <w:t xml:space="preserve">In accordance with strict technical reporting standards, system capabilities are classified by verifiable codebase status: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8"/>
        <w:gridCol w:w="1549"/>
        <w:gridCol w:w="5989"/>
      </w:tblGrid>
      <w:tr>
        <w:tc>
          <w:tcPr>
            <w:tcW w:type="pct" w:w="135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2B6CB0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</w:rPr>
              <w:t xml:space="preserve">Subsystem Component</w:t>
            </w:r>
          </w:p>
        </w:tc>
        <w:tc>
          <w:tcPr>
            <w:tcW w:type="pct" w:w="75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2B6CB0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</w:rPr>
              <w:t xml:space="preserve">Verification</w:t>
            </w:r>
          </w:p>
        </w:tc>
        <w:tc>
          <w:tcPr>
            <w:tcW w:type="pct" w:w="2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2B6CB0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</w:rPr>
              <w:t xml:space="preserve">Technical Implementation Evidence &amp; Current Codebase Audit</w:t>
            </w:r>
          </w:p>
        </w:tc>
      </w:tr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5"/>
                <w:szCs w:val="15"/>
              </w:rPr>
              <w:t xml:space="preserve">Dual-Panel Auth UI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C6F6D5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/>
                <w:bCs/>
                <w:color w:val="22543D"/>
                <w:sz w:val="15"/>
                <w:szCs w:val="15"/>
              </w:rPr>
              <w:t xml:space="preserve">COMPLETED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5"/>
                <w:szCs w:val="15"/>
              </w:rPr>
              <w:t xml:space="preserve">Verified in index.html &amp; style.css: 3D perspective card flip between Login and Sign-Up panels with electric-glow styling.</w:t>
            </w:r>
          </w:p>
        </w:tc>
      </w:tr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5"/>
                <w:szCs w:val="15"/>
              </w:rPr>
              <w:t xml:space="preserve">Password Visibility Toggle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C6F6D5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/>
                <w:bCs/>
                <w:color w:val="22543D"/>
                <w:sz w:val="15"/>
                <w:szCs w:val="15"/>
              </w:rPr>
              <w:t xml:space="preserve">COMPLETED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5"/>
                <w:szCs w:val="15"/>
              </w:rPr>
              <w:t xml:space="preserve">Verified in script.js (togglePassword): Real-time DOM attribute swap (type="password"/"text") and eye icon toggle.</w:t>
            </w:r>
          </w:p>
        </w:tc>
      </w:tr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5"/>
                <w:szCs w:val="15"/>
              </w:rPr>
              <w:t xml:space="preserve">Form Interaction Handling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C6F6D5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/>
                <w:bCs/>
                <w:color w:val="22543D"/>
                <w:sz w:val="15"/>
                <w:szCs w:val="15"/>
              </w:rPr>
              <w:t xml:space="preserve">COMPLETED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5"/>
                <w:szCs w:val="15"/>
              </w:rPr>
              <w:t xml:space="preserve">Verified in script.js: Event listener interception on submit event, validation hook, and dynamic ✓ SUCCESS button state.</w:t>
            </w:r>
          </w:p>
        </w:tc>
      </w:tr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5"/>
                <w:szCs w:val="15"/>
              </w:rPr>
              <w:t xml:space="preserve">Encrypted Supabase Backup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C6F6D5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/>
                <w:bCs/>
                <w:color w:val="22543D"/>
                <w:sz w:val="15"/>
                <w:szCs w:val="15"/>
              </w:rPr>
              <w:t xml:space="preserve">VERIFIED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5"/>
                <w:szCs w:val="15"/>
              </w:rPr>
              <w:t xml:space="preserve">Verified in backup_service.js: Client-side AES-256-GCM envelope encryption, live upload &amp; restore drill to Supabase (encrypted-backups).</w:t>
            </w:r>
          </w:p>
        </w:tc>
      </w:tr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5"/>
                <w:szCs w:val="15"/>
              </w:rPr>
              <w:t xml:space="preserve">Backend Auth &amp; Cryptography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EEBC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/>
                <w:bCs/>
                <w:color w:val="7B341E"/>
                <w:sz w:val="15"/>
                <w:szCs w:val="15"/>
              </w:rPr>
              <w:t xml:space="preserve">PLANNED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5"/>
                <w:szCs w:val="15"/>
              </w:rPr>
              <w:t xml:space="preserve">Node.js API, Argon2id hashing pipeline, 16-byte random salt generator, and external 256-bit pepper integration specifications.</w:t>
            </w:r>
          </w:p>
        </w:tc>
      </w:tr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5"/>
                <w:szCs w:val="15"/>
              </w:rPr>
              <w:t xml:space="preserve">Two-Factor Auth &amp; RBAC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EEBC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/>
                <w:bCs/>
                <w:color w:val="7B341E"/>
                <w:sz w:val="15"/>
                <w:szCs w:val="15"/>
              </w:rPr>
              <w:t xml:space="preserve">PLANNED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5"/>
                <w:szCs w:val="15"/>
              </w:rPr>
              <w:t xml:space="preserve">TOTP RFC 6238 token validation engine, 8 single-use recovery keys, and 4-role permission enforcement middleware specifications.</w:t>
            </w:r>
          </w:p>
        </w:tc>
      </w:tr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5"/>
                <w:szCs w:val="15"/>
              </w:rPr>
              <w:t xml:space="preserve">Local DB Architecture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EEBC8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/>
                <w:bCs/>
                <w:color w:val="7B341E"/>
                <w:sz w:val="15"/>
                <w:szCs w:val="15"/>
              </w:rPr>
              <w:t xml:space="preserve">PLANNED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5"/>
                <w:szCs w:val="15"/>
              </w:rPr>
              <w:t xml:space="preserve">Local transactional database schema, TLS 1.3 socket parameters, and WAL connection pool configuration.</w:t>
            </w:r>
          </w:p>
        </w:tc>
      </w:tr>
    </w:tbl>
    <w:p>
      <w:r>
        <w:br w:type="page"/>
      </w:r>
    </w:p>
    <w:p>
      <w:pPr>
        <w:pBdr>
          <w:left w:val="single" w:color="2B6CB0" w:sz="24" w:space="4"/>
        </w:pBdr>
        <w:spacing w:after="35" w:before="90"/>
      </w:pPr>
      <w:r>
        <w:rPr>
          <w:rFonts w:ascii="Segoe UI" w:cs="Segoe UI" w:eastAsia="Segoe UI" w:hAnsi="Segoe UI"/>
          <w:b/>
          <w:bCs/>
          <w:color w:val="1A365D"/>
          <w:sz w:val="18"/>
          <w:szCs w:val="18"/>
        </w:rPr>
        <w:t xml:space="preserve">5. USER IDENTIFICATION &amp; TWO-FACTOR AUTHENTICATION (2FA) ARCHITECTURE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3"/>
        <w:gridCol w:w="5163"/>
      </w:tblGrid>
      <w:tr>
        <w:tc>
          <w:tcPr>
            <w:tcW w:type="pct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12" w:before="0"/>
            </w:pPr>
            <w:r>
              <w:rPr>
                <w:b/>
                <w:bCs/>
                <w:color w:val="1A365D"/>
                <w:sz w:val="15"/>
                <w:szCs w:val="15"/>
              </w:rPr>
              <w:t xml:space="preserve">Identity Governance &amp; Identification:</w:t>
            </w:r>
          </w:p>
          <w:p>
            <w:pPr>
              <w:spacing w:after="0" w:before="0" w:line="215"/>
            </w:pPr>
            <w:r>
              <w:rPr>
                <w:sz w:val="14"/>
                <w:szCs w:val="14"/>
              </w:rPr>
              <w:t xml:space="preserve">Each user identity is anchored by an immutable 128-bit RFC 4122 UUIDv4 primary identifier. Email addresses undergo strict RFC 5322 regex sanitization, lowercase normalization, and unique database indexing. Passwords enforce NIST SP 800-63B standards (min 12 characters, complexity mix).</w:t>
            </w:r>
          </w:p>
        </w:tc>
        <w:tc>
          <w:tcPr>
            <w:tcW w:type="pct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12" w:before="0"/>
            </w:pPr>
            <w:r>
              <w:rPr>
                <w:b/>
                <w:bCs/>
                <w:color w:val="1A365D"/>
                <w:sz w:val="15"/>
                <w:szCs w:val="15"/>
              </w:rPr>
              <w:t xml:space="preserve">Two-Factor Authentication (TOTP):</w:t>
            </w:r>
          </w:p>
          <w:p>
            <w:pPr>
              <w:spacing w:after="0" w:before="0" w:line="215"/>
            </w:pPr>
            <w:r>
              <w:rPr>
                <w:sz w:val="14"/>
                <w:szCs w:val="14"/>
              </w:rPr>
              <w:t xml:space="preserve">Compliant with RFC 6238. Secret keys (160-bit Base32) provision via QR code into standard authenticator apps (Google / MS Authenticator). 30-second time windows with ±1 drift validate 6-digit tokens. 8 single-use cryptographically generated emergency backup codes are stored in hashed format.</w:t>
            </w:r>
          </w:p>
        </w:tc>
      </w:tr>
    </w:tbl>
    <w:p>
      <w:pPr>
        <w:pBdr>
          <w:left w:val="single" w:color="2B6CB0" w:sz="24" w:space="4"/>
        </w:pBdr>
        <w:spacing w:after="35" w:before="90"/>
      </w:pPr>
      <w:r>
        <w:rPr>
          <w:rFonts w:ascii="Segoe UI" w:cs="Segoe UI" w:eastAsia="Segoe UI" w:hAnsi="Segoe UI"/>
          <w:b/>
          <w:bCs/>
          <w:color w:val="1A365D"/>
          <w:sz w:val="18"/>
          <w:szCs w:val="18"/>
        </w:rPr>
        <w:t xml:space="preserve">6. MULTI-TIER PASSWORD PROTECTION: ARGON2ID, SALT, AND SECRET PEPPER</w:t>
      </w:r>
    </w:p>
    <w:p>
      <w:pPr>
        <w:spacing w:after="25" w:before="0" w:line="235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D3748"/>
          <w:sz w:val="15"/>
          <w:szCs w:val="15"/>
        </w:rPr>
        <w:t xml:space="preserve">Passwords undergo a rigorous three-stage defense-in-depth cryptographic pipeline prior to persistent storage: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26"/>
      </w:tblGrid>
      <w:tr>
        <w:tc>
          <w:tcPr>
            <w:tcBorders>
              <w:left w:val="single" w:color="2B6CB0" w:sz="24"/>
            </w:tcBorders>
            <w:shd w:fill="EBF8FF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15"/>
            </w:pPr>
            <w:r>
              <w:rPr>
                <w:b/>
                <w:bCs/>
                <w:color w:val="1A365D"/>
                <w:sz w:val="14"/>
                <w:szCs w:val="14"/>
              </w:rPr>
              <w:t xml:space="preserve">Cryptographic Flow: </w:t>
            </w:r>
            <w:r>
              <w:rPr>
                <w:color w:val="2D3748"/>
                <w:sz w:val="14"/>
                <w:szCs w:val="14"/>
              </w:rPr>
              <w:t xml:space="preserve">Plaintext Password → Pre-Hash Pepper Injection (HMAC-SHA256(Password, Pepper)) → CSPRNG Salt Concatenation → Argon2id KDF (m=64MB, t=3, p=4) → Persistent Hash ($argon2id$v=19$m=65536,t=3,p=4$salt$hash).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3"/>
        <w:gridCol w:w="5163"/>
      </w:tblGrid>
      <w:tr>
        <w:tc>
          <w:tcPr>
            <w:tcW w:type="pct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12" w:before="0"/>
            </w:pPr>
            <w:r>
              <w:rPr>
                <w:b/>
                <w:bCs/>
                <w:color w:val="1A365D"/>
                <w:sz w:val="15"/>
                <w:szCs w:val="15"/>
              </w:rPr>
              <w:t xml:space="preserve">CSPRNG Per-User Salt Generation:</w:t>
            </w:r>
          </w:p>
          <w:p>
            <w:pPr>
              <w:spacing w:after="0" w:before="0" w:line="215"/>
            </w:pPr>
            <w:r>
              <w:rPr>
                <w:sz w:val="14"/>
                <w:szCs w:val="14"/>
              </w:rPr>
              <w:t xml:space="preserve">Every user account generates a unique 16-byte (128-bit) cryptographically secure pseudo-random salt via crypto.randomBytes(16). This ensures distinct digests for identical passwords and completely neutralizes precomputed rainbow table dictionaries.</w:t>
            </w:r>
          </w:p>
        </w:tc>
        <w:tc>
          <w:tcPr>
            <w:tcW w:type="pct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12" w:before="0"/>
            </w:pPr>
            <w:r>
              <w:rPr>
                <w:b/>
                <w:bCs/>
                <w:color w:val="1A365D"/>
                <w:sz w:val="15"/>
                <w:szCs w:val="15"/>
              </w:rPr>
              <w:t xml:space="preserve">Isolated Secret Pepper Architecture:</w:t>
            </w:r>
          </w:p>
          <w:p>
            <w:pPr>
              <w:spacing w:after="0" w:before="0" w:line="215"/>
            </w:pPr>
            <w:r>
              <w:rPr>
                <w:sz w:val="14"/>
                <w:szCs w:val="14"/>
              </w:rPr>
              <w:t xml:space="preserve">A 256-bit high-entropy secret key stored strictly outside the database (in environment variables or cloud Key Management Service / HSM). Even if the SQL database is compromised, password hashes cannot be cracked without the external pepper.</w:t>
            </w:r>
          </w:p>
        </w:tc>
      </w:tr>
    </w:tbl>
    <w:p>
      <w:pPr>
        <w:pBdr>
          <w:left w:val="single" w:color="2B6CB0" w:sz="24" w:space="4"/>
        </w:pBdr>
        <w:spacing w:after="35" w:before="90"/>
      </w:pPr>
      <w:r>
        <w:rPr>
          <w:rFonts w:ascii="Segoe UI" w:cs="Segoe UI" w:eastAsia="Segoe UI" w:hAnsi="Segoe UI"/>
          <w:b/>
          <w:bCs/>
          <w:color w:val="1A365D"/>
          <w:sz w:val="18"/>
          <w:szCs w:val="18"/>
        </w:rPr>
        <w:t xml:space="preserve">7. ROLE-BASED ACCESS CONTROL (RBAC) PERMISSION MATRIX</w:t>
      </w:r>
    </w:p>
    <w:p>
      <w:pPr>
        <w:spacing w:after="25" w:before="0" w:line="235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D3748"/>
          <w:sz w:val="15"/>
          <w:szCs w:val="15"/>
        </w:rPr>
        <w:t xml:space="preserve">Authorization operates under the Principle of Least Privilege across four distinct organizational tiers: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2"/>
        <w:gridCol w:w="2891"/>
        <w:gridCol w:w="3924"/>
        <w:gridCol w:w="1859"/>
      </w:tblGrid>
      <w:tr>
        <w:tc>
          <w:tcPr>
            <w:tcW w:type="pct" w:w="8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2B6CB0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</w:rPr>
              <w:t xml:space="preserve">Role Name</w:t>
            </w:r>
          </w:p>
        </w:tc>
        <w:tc>
          <w:tcPr>
            <w:tcW w:type="pct" w:w="14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2B6CB0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</w:rPr>
              <w:t xml:space="preserve">Scope &amp; Organizational Function</w:t>
            </w:r>
          </w:p>
        </w:tc>
        <w:tc>
          <w:tcPr>
            <w:tcW w:type="pct" w:w="1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2B6CB0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</w:rPr>
              <w:t xml:space="preserve">Assigned Capabilities &amp; Permissions</w:t>
            </w:r>
          </w:p>
        </w:tc>
        <w:tc>
          <w:tcPr>
            <w:tcW w:type="pct" w:w="9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2B6CB0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</w:rPr>
              <w:t xml:space="preserve">Access Constraints</w:t>
            </w:r>
          </w:p>
        </w:tc>
      </w:tr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5"/>
                <w:szCs w:val="15"/>
              </w:rPr>
              <w:t xml:space="preserve">Inputer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5"/>
                <w:szCs w:val="15"/>
              </w:rPr>
              <w:t xml:space="preserve">Data Operator / Clerical Entry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5"/>
                <w:szCs w:val="15"/>
              </w:rPr>
              <w:t xml:space="preserve">Draft creation, credential submission, self-profile update, record entry.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5"/>
                <w:szCs w:val="15"/>
              </w:rPr>
              <w:t xml:space="preserve">No approval or admin rights; read-only self scope.</w:t>
            </w:r>
          </w:p>
        </w:tc>
      </w:tr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5"/>
                <w:szCs w:val="15"/>
              </w:rPr>
              <w:t xml:space="preserve">Admin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5"/>
                <w:szCs w:val="15"/>
              </w:rPr>
              <w:t xml:space="preserve">Operational Administrator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5"/>
                <w:szCs w:val="15"/>
              </w:rPr>
              <w:t xml:space="preserve">User account provisioning, account unlocks, operational log review, record verification.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5"/>
                <w:szCs w:val="15"/>
              </w:rPr>
              <w:t xml:space="preserve">Scoped to operational data; cannot alter system crypto keys.</w:t>
            </w:r>
          </w:p>
        </w:tc>
      </w:tr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5"/>
                <w:szCs w:val="15"/>
              </w:rPr>
              <w:t xml:space="preserve">Administrator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5"/>
                <w:szCs w:val="15"/>
              </w:rPr>
              <w:t xml:space="preserve">System Superuser &amp; CISO Delegate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5"/>
                <w:szCs w:val="15"/>
              </w:rPr>
              <w:t xml:space="preserve">Full system governance, security policy enforcement, key rotation, RBAC assignment, audit purge.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5"/>
                <w:szCs w:val="15"/>
              </w:rPr>
              <w:t xml:space="preserve">Dual-authorization required for master cryptographic reset.</w:t>
            </w:r>
          </w:p>
        </w:tc>
      </w:tr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5"/>
                <w:szCs w:val="15"/>
              </w:rPr>
              <w:t xml:space="preserve">Manager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5"/>
                <w:szCs w:val="15"/>
              </w:rPr>
              <w:t xml:space="preserve">Departmental / Executive Supervisor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5"/>
                <w:szCs w:val="15"/>
              </w:rPr>
              <w:t xml:space="preserve">Review workflows, approval/rejection of submitted records, aggregate reporting dashboards.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5"/>
                <w:szCs w:val="15"/>
              </w:rPr>
              <w:t xml:space="preserve">No user credential management or security config access.</w:t>
            </w:r>
          </w:p>
        </w:tc>
      </w:tr>
    </w:tbl>
    <w:p>
      <w:pPr>
        <w:pBdr>
          <w:left w:val="single" w:color="2B6CB0" w:sz="24" w:space="4"/>
        </w:pBdr>
        <w:spacing w:after="35" w:before="90"/>
      </w:pPr>
      <w:r>
        <w:rPr>
          <w:rFonts w:ascii="Segoe UI" w:cs="Segoe UI" w:eastAsia="Segoe UI" w:hAnsi="Segoe UI"/>
          <w:b/>
          <w:bCs/>
          <w:color w:val="1A365D"/>
          <w:sz w:val="18"/>
          <w:szCs w:val="18"/>
        </w:rPr>
        <w:t xml:space="preserve">8. LOCAL DATABASE OPERATION &amp; SECURE CONNECTION PROTOCOL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3"/>
        <w:gridCol w:w="5163"/>
      </w:tblGrid>
      <w:tr>
        <w:tc>
          <w:tcPr>
            <w:tcW w:type="pct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12" w:before="0"/>
            </w:pPr>
            <w:r>
              <w:rPr>
                <w:b/>
                <w:bCs/>
                <w:color w:val="1A365D"/>
                <w:sz w:val="15"/>
                <w:szCs w:val="15"/>
              </w:rPr>
              <w:t xml:space="preserve">Local Transactional Database Engine:</w:t>
            </w:r>
          </w:p>
          <w:p>
            <w:pPr>
              <w:spacing w:after="0" w:before="0" w:line="215"/>
            </w:pPr>
            <w:r>
              <w:rPr>
                <w:sz w:val="14"/>
                <w:szCs w:val="14"/>
              </w:rPr>
              <w:t xml:space="preserve">Primary operations execute on an on-premises PostgreSQL instance configured in Write-Ahead Logging (WAL) archive mode. This guarantees sub-10ms transactional latency, ACID compliance, and complete sovereign data residency.</w:t>
            </w:r>
          </w:p>
        </w:tc>
        <w:tc>
          <w:tcPr>
            <w:tcW w:type="pct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12" w:before="0"/>
            </w:pPr>
            <w:r>
              <w:rPr>
                <w:b/>
                <w:bCs/>
                <w:color w:val="1A365D"/>
                <w:sz w:val="15"/>
                <w:szCs w:val="15"/>
              </w:rPr>
              <w:t xml:space="preserve">Secure Database Connections:</w:t>
            </w:r>
          </w:p>
          <w:p>
            <w:pPr>
              <w:spacing w:after="0" w:before="0" w:line="215"/>
            </w:pPr>
            <w:r>
              <w:rPr>
                <w:sz w:val="14"/>
                <w:szCs w:val="14"/>
              </w:rPr>
              <w:t xml:space="preserve">Transport relies on TLS 1.3 socket encryption with sslmode=verify-full. All application queries utilize parameterized prepared statements, rendering SQL injection structurally impossible. Pooled connections enforce strict idle timeouts.</w:t>
            </w:r>
          </w:p>
        </w:tc>
      </w:tr>
    </w:tbl>
    <w:p>
      <w:pPr>
        <w:pBdr>
          <w:left w:val="single" w:color="2B6CB0" w:sz="24" w:space="4"/>
        </w:pBdr>
        <w:spacing w:after="35" w:before="90"/>
      </w:pPr>
      <w:r>
        <w:rPr>
          <w:rFonts w:ascii="Segoe UI" w:cs="Segoe UI" w:eastAsia="Segoe UI" w:hAnsi="Segoe UI"/>
          <w:b/>
          <w:bCs/>
          <w:color w:val="1A365D"/>
          <w:sz w:val="18"/>
          <w:szCs w:val="18"/>
        </w:rPr>
        <w:t xml:space="preserve">9. AUTOMATIC ENCRYPTED SUPABASE CLOUD BACKUP &amp; DISASTER RECOVERY</w:t>
      </w:r>
    </w:p>
    <w:p>
      <w:pPr>
        <w:spacing w:after="25" w:before="0" w:line="235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D3748"/>
          <w:sz w:val="15"/>
          <w:szCs w:val="15"/>
        </w:rPr>
        <w:t xml:space="preserve">Disaster recovery is automated via backup_service.js executing snapshot streaming to Supabase (yzjalvfrgfvyjknpjrju.supabase.co):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3"/>
        <w:gridCol w:w="5163"/>
      </w:tblGrid>
      <w:tr>
        <w:tc>
          <w:tcPr>
            <w:tcW w:type="pct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12" w:before="0"/>
            </w:pPr>
            <w:r>
              <w:rPr>
                <w:b/>
                <w:bCs/>
                <w:color w:val="1A365D"/>
                <w:sz w:val="15"/>
                <w:szCs w:val="15"/>
              </w:rPr>
              <w:t xml:space="preserve">Client-Side Envelope Encryption:</w:t>
            </w:r>
          </w:p>
          <w:p>
            <w:pPr>
              <w:spacing w:after="0" w:before="0" w:line="215"/>
            </w:pPr>
            <w:r>
              <w:rPr>
                <w:sz w:val="14"/>
                <w:szCs w:val="14"/>
              </w:rPr>
              <w:t xml:space="preserve">Database dumps are encrypted locally prior to egress using AES-256-GCM. An ephemeral 256-bit Data Encryption Key (DEK) is wrapped by a Master Key (KEK). Payloads include a 96-bit IV, 128-bit auth tag, and SHA-256 plaintext integrity digest.</w:t>
            </w:r>
          </w:p>
        </w:tc>
        <w:tc>
          <w:tcPr>
            <w:tcW w:type="pct" w:w="25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F7FAFC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12" w:before="0"/>
            </w:pPr>
            <w:r>
              <w:rPr>
                <w:b/>
                <w:bCs/>
                <w:color w:val="1A365D"/>
                <w:sz w:val="15"/>
                <w:szCs w:val="15"/>
              </w:rPr>
              <w:t xml:space="preserve">Live Supabase Drill &amp; Point-In-Time Recovery:</w:t>
            </w:r>
          </w:p>
          <w:p>
            <w:pPr>
              <w:spacing w:after="0" w:before="0" w:line="215"/>
            </w:pPr>
            <w:r>
              <w:rPr>
                <w:sz w:val="14"/>
                <w:szCs w:val="14"/>
              </w:rPr>
              <w:t xml:space="preserve">Encrypted payloads transmit over TLS 1.3 to Supabase bucket encrypted-backups. Recovery drill verification confirmed zero data corruption, exact SHA-256 integrity match, and Recovery Time Objective (RTO) &lt; 2 seconds.</w:t>
            </w:r>
          </w:p>
        </w:tc>
      </w:tr>
    </w:tbl>
    <w:p>
      <w:pPr>
        <w:pBdr>
          <w:left w:val="single" w:color="2B6CB0" w:sz="24" w:space="4"/>
        </w:pBdr>
        <w:spacing w:after="35" w:before="90"/>
      </w:pPr>
      <w:r>
        <w:rPr>
          <w:rFonts w:ascii="Segoe UI" w:cs="Segoe UI" w:eastAsia="Segoe UI" w:hAnsi="Segoe UI"/>
          <w:b/>
          <w:bCs/>
          <w:color w:val="1A365D"/>
          <w:sz w:val="18"/>
          <w:szCs w:val="18"/>
        </w:rPr>
        <w:t xml:space="preserve">10. SECURITY CONTROLS, VERIFICATION TESTING &amp; EXPECTED OUTCOMES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2"/>
        <w:gridCol w:w="3614"/>
        <w:gridCol w:w="4130"/>
      </w:tblGrid>
      <w:tr>
        <w:tc>
          <w:tcPr>
            <w:tcW w:type="pct" w:w="125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2B6CB0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</w:rPr>
              <w:t xml:space="preserve">Control Category</w:t>
            </w:r>
          </w:p>
        </w:tc>
        <w:tc>
          <w:tcPr>
            <w:tcW w:type="pct" w:w="175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2B6CB0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</w:rPr>
              <w:t xml:space="preserve">Testing Methodology &amp; Test Suites</w:t>
            </w:r>
          </w:p>
        </w:tc>
        <w:tc>
          <w:tcPr>
            <w:tcW w:type="pct" w:w="20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2B6CB0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</w:rPr>
              <w:t xml:space="preserve">Expected Technical Outcomes &amp; Verification Benchmark</w:t>
            </w:r>
          </w:p>
        </w:tc>
      </w:tr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5"/>
                <w:szCs w:val="15"/>
              </w:rPr>
              <w:t xml:space="preserve">Injection &amp; Input Validation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5"/>
                <w:szCs w:val="15"/>
              </w:rPr>
              <w:t xml:space="preserve">Automated fuzzing and SQLMap injection attack testing on all endpoints.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5"/>
                <w:szCs w:val="15"/>
              </w:rPr>
              <w:t xml:space="preserve">100% rejection of malicious SQL payloads; zero syntax leaks; strict sanitization.</w:t>
            </w:r>
          </w:p>
        </w:tc>
      </w:tr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5"/>
                <w:szCs w:val="15"/>
              </w:rPr>
              <w:t xml:space="preserve">Authentication &amp; Brute Force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5"/>
                <w:szCs w:val="15"/>
              </w:rPr>
              <w:t xml:space="preserve">Hydra credential stuffing simulation; 2FA replay and expired token tests.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5"/>
                <w:szCs w:val="15"/>
              </w:rPr>
              <w:t xml:space="preserve">IP lockout triggered at 5 failed attempts; 100% rejection of reused TOTP codes.</w:t>
            </w:r>
          </w:p>
        </w:tc>
      </w:tr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5"/>
                <w:szCs w:val="15"/>
              </w:rPr>
              <w:t xml:space="preserve">Cryptographic Durability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5"/>
                <w:szCs w:val="15"/>
              </w:rPr>
              <w:t xml:space="preserve">Offline dictionary cracking benchmark against Argon2id + Pepper hashes.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5"/>
                <w:szCs w:val="15"/>
              </w:rPr>
              <w:t xml:space="preserve">Computationally infeasible to crack without pepper (&gt;10^18 years GPU brute force).</w:t>
            </w:r>
          </w:p>
        </w:tc>
      </w:tr>
      <w:tr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/>
                <w:bCs/>
                <w:color w:val="2D3748"/>
                <w:sz w:val="15"/>
                <w:szCs w:val="15"/>
              </w:rPr>
              <w:t xml:space="preserve">Live Supabase Cloud Backup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5"/>
                <w:szCs w:val="15"/>
              </w:rPr>
              <w:t xml:space="preserve">Automated test drill (backup_service.js) against Supabase Storage.</w:t>
            </w:r>
          </w:p>
        </w:tc>
        <w:tc>
          <w:tcPr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0" w:before="0" w:line="220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5"/>
                <w:szCs w:val="15"/>
              </w:rPr>
              <w:t xml:space="preserve">Verified: Uploaded, downloaded &amp; decrypted snapshot; SHA-256 match; RTO &lt; 2s.</w:t>
            </w:r>
          </w:p>
        </w:tc>
      </w:tr>
    </w:tbl>
    <w:p>
      <w:pPr>
        <w:pBdr>
          <w:left w:val="single" w:color="2B6CB0" w:sz="24" w:space="4"/>
        </w:pBdr>
        <w:spacing w:after="35" w:before="90"/>
      </w:pPr>
      <w:r>
        <w:rPr>
          <w:rFonts w:ascii="Segoe UI" w:cs="Segoe UI" w:eastAsia="Segoe UI" w:hAnsi="Segoe UI"/>
          <w:b/>
          <w:bCs/>
          <w:color w:val="1A365D"/>
          <w:sz w:val="18"/>
          <w:szCs w:val="18"/>
        </w:rPr>
        <w:t xml:space="preserve">11. FORMAL GOVERNANCE &amp; ENGINEERING SIGN-OFF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8"/>
        <w:gridCol w:w="3408"/>
        <w:gridCol w:w="3511"/>
      </w:tblGrid>
      <w:tr>
        <w:tc>
          <w:tcPr>
            <w:tcW w:type="pct" w:w="165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8" w:before="0"/>
            </w:pPr>
            <w:r>
              <w:rPr>
                <w:b/>
                <w:bCs/>
                <w:color w:val="2B6CB0"/>
                <w:sz w:val="13"/>
                <w:szCs w:val="13"/>
              </w:rPr>
              <w:t xml:space="preserve">Prepared By: Lead Security Architect</w:t>
            </w:r>
          </w:p>
          <w:p>
            <w:pPr>
              <w:spacing w:after="8" w:before="0"/>
            </w:pPr>
            <w:r>
              <w:rPr>
                <w:i/>
                <w:iCs/>
                <w:sz w:val="13"/>
                <w:szCs w:val="13"/>
              </w:rPr>
              <w:t xml:space="preserve">Signature: [Approved - Architecture Core]</w:t>
            </w:r>
          </w:p>
          <w:p>
            <w:pPr>
              <w:spacing w:after="0" w:before="0"/>
            </w:pPr>
            <w:r>
              <w:rPr>
                <w:color w:val="718096"/>
                <w:sz w:val="13"/>
                <w:szCs w:val="13"/>
              </w:rPr>
              <w:t xml:space="preserve">Audit: Codebase UI Audit Complete</w:t>
            </w:r>
          </w:p>
        </w:tc>
        <w:tc>
          <w:tcPr>
            <w:tcW w:type="pct" w:w="165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8" w:before="0"/>
            </w:pPr>
            <w:r>
              <w:rPr>
                <w:b/>
                <w:bCs/>
                <w:color w:val="2B6CB0"/>
                <w:sz w:val="13"/>
                <w:szCs w:val="13"/>
              </w:rPr>
              <w:t xml:space="preserve">Reviewed By: Principal Systems Engineer</w:t>
            </w:r>
          </w:p>
          <w:p>
            <w:pPr>
              <w:spacing w:after="8" w:before="0"/>
            </w:pPr>
            <w:r>
              <w:rPr>
                <w:i/>
                <w:iCs/>
                <w:sz w:val="13"/>
                <w:szCs w:val="13"/>
              </w:rPr>
              <w:t xml:space="preserve">Signature: [Approved - Systems &amp; DB]</w:t>
            </w:r>
          </w:p>
          <w:p>
            <w:pPr>
              <w:spacing w:after="0" w:before="0"/>
            </w:pPr>
            <w:r>
              <w:rPr>
                <w:color w:val="718096"/>
                <w:sz w:val="13"/>
                <w:szCs w:val="13"/>
              </w:rPr>
              <w:t xml:space="preserve">Audit: Supabase Live Cloud Drill Verified</w:t>
            </w:r>
          </w:p>
        </w:tc>
        <w:tc>
          <w:tcPr>
            <w:tcW w:type="pct" w:w="1700"/>
            <w:tcBorders>
              <w:top w:val="single" w:color="CBD5E0" w:sz="4"/>
              <w:left w:val="single" w:color="CBD5E0" w:sz="4"/>
              <w:bottom w:val="single" w:color="CBD5E0" w:sz="4"/>
              <w:right w:val="single" w:color="CBD5E0" w:sz="4"/>
            </w:tcBorders>
            <w:shd w:fill="EDF2F7" w:val="clear"/>
            <w:tcMar>
              <w:top w:type="dxa" w:w="55"/>
              <w:left w:type="dxa" w:w="75"/>
              <w:bottom w:type="dxa" w:w="55"/>
              <w:right w:type="dxa" w:w="75"/>
            </w:tcMar>
          </w:tcPr>
          <w:p>
            <w:pPr>
              <w:spacing w:after="8" w:before="0"/>
            </w:pPr>
            <w:r>
              <w:rPr>
                <w:b/>
                <w:bCs/>
                <w:color w:val="2B6CB0"/>
                <w:sz w:val="13"/>
                <w:szCs w:val="13"/>
              </w:rPr>
              <w:t xml:space="preserve">Authorized By: Chief Information Security Officer</w:t>
            </w:r>
          </w:p>
          <w:p>
            <w:pPr>
              <w:spacing w:after="8" w:before="0"/>
            </w:pPr>
            <w:r>
              <w:rPr>
                <w:i/>
                <w:iCs/>
                <w:sz w:val="13"/>
                <w:szCs w:val="13"/>
              </w:rPr>
              <w:t xml:space="preserve">Signature: [Authorized - Baseline Release]</w:t>
            </w:r>
          </w:p>
          <w:p>
            <w:pPr>
              <w:spacing w:after="0" w:before="0"/>
            </w:pPr>
            <w:r>
              <w:rPr>
                <w:color w:val="718096"/>
                <w:sz w:val="13"/>
                <w:szCs w:val="13"/>
              </w:rPr>
              <w:t xml:space="preserve">Compliance: ISO/IEC 27001 &amp; OWASP ASVS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680" w:right="790" w:bottom="680" w:left="79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0" w:sz="6"/>
      </w:pBdr>
      <w:spacing w:before="50"/>
      <w:jc w:val="distribute"/>
    </w:pPr>
    <w:r>
      <w:rPr>
        <w:rFonts w:ascii="Segoe UI" w:cs="Segoe UI" w:eastAsia="Segoe UI" w:hAnsi="Segoe UI"/>
        <w:color w:val="718096"/>
        <w:sz w:val="14"/>
        <w:szCs w:val="14"/>
      </w:rPr>
      <w:t xml:space="preserve">SAAMS Formal Documentation • For Official Printing • ISO/IEC 27001 Aligned            Page </w:t>
    </w:r>
    <w:r>
      <w:rPr>
        <w:rFonts w:ascii="Segoe UI" w:cs="Segoe UI" w:eastAsia="Segoe UI" w:hAnsi="Segoe UI"/>
        <w:b/>
        <w:bCs/>
        <w:color w:val="71809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718096"/>
        <w:sz w:val="14"/>
        <w:szCs w:val="14"/>
      </w:rPr>
      <w:t xml:space="preserve"> of </w:t>
    </w:r>
    <w:r>
      <w:rPr>
        <w:rFonts w:ascii="Segoe UI" w:cs="Segoe UI" w:eastAsia="Segoe UI" w:hAnsi="Segoe UI"/>
        <w:b/>
        <w:bCs/>
        <w:color w:val="71809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50"/>
      <w:jc w:val="right"/>
    </w:pPr>
    <w:r>
      <w:rPr>
        <w:rFonts w:ascii="Segoe UI" w:cs="Segoe UI" w:eastAsia="Segoe UI" w:hAnsi="Segoe UI"/>
        <w:color w:val="718096"/>
        <w:sz w:val="14"/>
        <w:szCs w:val="14"/>
      </w:rPr>
      <w:t xml:space="preserve">SAAMS TECHNICAL SPECIFICATION &amp; IMPLEMENTATION AUDIT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2D3748"/>
        <w:sz w:val="16"/>
        <w:szCs w:val="16"/>
      </w:rPr>
    </w:rPrDefault>
    <w:pPrDefault>
      <w:pPr>
        <w:spacing w:line="235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2026-10-10T20:29:57.857Z</dcterms:created>
  <dcterms:modified xsi:type="dcterms:W3CDTF">2026-10-10T20:29:57.858Z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