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03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6abaac3cad6b122581069015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Script-Controlled ACL – Restrict Record Access Based on Field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2 Marks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Proposed Solution Template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following content follows the uploaded Proposed Solution Template, which asks for six parameters: Problem Statement, Idea / Solution description, Novelty / Uniqueness, Social Impact / Customer Satisfaction, Business Model (Revenue Model), and Scalability of the Solution.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Users may need restricted access to records depending on the value of a particular field. Without field-based control, unauthorized users may view or modify records that should be restricted.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Create a Script-Controlled Access Control List (ACL) in ServiceNow. The ACL checks a selected field in the current record and allows or denies access according to the defined field value. Example: allow access only when the status field is 'Approved'.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The solution provides dynamic record-level access control by evaluating a field value through an ACL script. The access decision can therefore change according to the data in each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solution helps protect sensitive records and reduce unauthorized access. Users receive access according to the required condition, which can improve security, trust, and user satisfaction.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solution can be provided as part of ServiceNow implementation, configuration, customization, and security-access management services for organizations.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same approach can be extended to different tables, fields, users, roles, and ACL operations such as Read, Write, Create, and Delete. Multiple field-based access rules can be configured as requirements increase.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Sample ACL Script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Allow access only when the status is Approved</w:t>
        <w:br w:type="textWrapping"/>
        <w:t xml:space="preserve">answer = current.u_status == 'approved';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Script-Controlled ACL checks the selected field value before granting the requested access. If the value satisfies the configured condition, access is allowed; otherwise, access is restricted.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v5Gt2StkS2UcpSHWPjK5ZxOKw==">CgMxLjA4AHIhMWdxU2NjczZQOVFXTWxPWTcwX2hHV010WklCbW9hWk1O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