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03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6abaac3cad6b122581069015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Proposed Solution Template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Users may have access to records that they should not be able to view or modify based on the value of a particular field. A field-based access restriction is required to control record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Create a Script-Controlled Access Control List (ACL) in ServiceNow. The ACL checks the value of a selected field in the current record and allows or denies access according to the defined condition. For example, access can be allowed only when the status field is 'Approved'.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solution provides dynamic, record-level access control by evaluating field values through an ACL script instead of applying the same access rule to every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It helps protect sensitive records, reduces unauthorized access, and gives users access appropriate to the record condition. This can improve trust and satisfaction by providing controlled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solution can be implemented as part of a ServiceNow configuration or customization service. Organizations can use it to improve security and access management within their ServiceNow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approach can be applied to different tables, fields, and ACL operations such as Read, Write, Create, and Delete. The same concept can be extended to multiple field-based access rules as requirements grow.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Sample ACL 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Allow access only when the status is Approved</w:t>
        <w:br w:type="textWrapping"/>
        <w:t xml:space="preserve">answer = current.u_status == 'approved';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ACL evaluates the field value of the requested record. When the value matches the permitted condition, access is allowed; otherwise, access is restricted.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FijFQOY/8UqWLv+wZZJ60tD9g==">CgMxLjA4AHIhMWZDVXFZamt0ekp0TlNEYkhaTEhKM0Z3Zm80OXUyUlhh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