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160" w:after="80" w:line="264" w:lineRule="auto"/>
        <w:jc w:val="left"/>
      </w:pPr>
      <w:r>
        <w:rPr>
          <w:rFonts w:ascii="Calibri" w:hAnsi="Calibri" w:eastAsia="微软雅黑"/>
          <w:b/>
          <w:color w:val="666666"/>
          <w:sz w:val="32"/>
        </w:rPr>
        <w:t>机器学习课程大作业报告</w:t>
      </w:r>
    </w:p>
    <w:p>
      <w:pPr>
        <w:spacing w:before="120" w:after="80" w:line="252" w:lineRule="auto"/>
        <w:jc w:val="left"/>
      </w:pPr>
      <w:r>
        <w:rPr>
          <w:rFonts w:ascii="Calibri" w:hAnsi="Calibri" w:eastAsia="微软雅黑"/>
          <w:b/>
          <w:color w:val="0B2545"/>
          <w:sz w:val="48"/>
        </w:rPr>
        <w:t>基于 PyTorch 的乳腺癌良恶性分类系统设计与实现</w:t>
      </w:r>
    </w:p>
    <w:p>
      <w:pPr>
        <w:spacing w:before="0" w:after="320" w:line="264" w:lineRule="auto"/>
        <w:jc w:val="left"/>
      </w:pPr>
      <w:r>
        <w:rPr>
          <w:rFonts w:ascii="Calibri" w:hAnsi="Calibri" w:eastAsia="微软雅黑"/>
          <w:color w:val="666666"/>
          <w:sz w:val="25"/>
        </w:rPr>
        <w:t>任务 2.3：Kaggle 乳腺癌数据集良恶性分类、可视化与模型结果比较</w:t>
      </w:r>
    </w:p>
    <w:p>
      <w:pPr>
        <w:spacing w:before="0" w:after="60" w:line="264" w:lineRule="auto"/>
        <w:jc w:val="left"/>
      </w:pPr>
      <w:r>
        <w:rPr>
          <w:rFonts w:ascii="Calibri" w:hAnsi="Calibri" w:eastAsia="微软雅黑"/>
          <w:b/>
          <w:sz w:val="22"/>
        </w:rPr>
        <w:t>课程名称：</w:t>
      </w:r>
      <w:r>
        <w:rPr>
          <w:rFonts w:ascii="Calibri" w:hAnsi="Calibri" w:eastAsia="微软雅黑"/>
          <w:sz w:val="22"/>
        </w:rPr>
        <w:t>机器学习</w:t>
      </w:r>
    </w:p>
    <w:p>
      <w:pPr>
        <w:spacing w:before="0" w:after="60" w:line="264" w:lineRule="auto"/>
        <w:jc w:val="left"/>
      </w:pPr>
      <w:r>
        <w:rPr>
          <w:rFonts w:ascii="Calibri" w:hAnsi="Calibri" w:eastAsia="微软雅黑"/>
          <w:b/>
          <w:sz w:val="22"/>
        </w:rPr>
        <w:t>报告类型：</w:t>
      </w:r>
      <w:r>
        <w:rPr>
          <w:rFonts w:ascii="Calibri" w:hAnsi="Calibri" w:eastAsia="微软雅黑"/>
          <w:sz w:val="22"/>
        </w:rPr>
        <w:t>1.0 完整大作业报告（完整版）</w:t>
      </w:r>
    </w:p>
    <w:p>
      <w:pPr>
        <w:spacing w:before="0" w:after="60" w:line="264" w:lineRule="auto"/>
        <w:jc w:val="left"/>
      </w:pPr>
      <w:r>
        <w:rPr>
          <w:rFonts w:ascii="Calibri" w:hAnsi="Calibri" w:eastAsia="微软雅黑"/>
          <w:b/>
          <w:sz w:val="22"/>
        </w:rPr>
        <w:t>小组编号：</w:t>
      </w:r>
      <w:r>
        <w:rPr>
          <w:rFonts w:ascii="Calibri" w:hAnsi="Calibri" w:eastAsia="微软雅黑"/>
          <w:sz w:val="22"/>
        </w:rPr>
        <w:t>__________</w:t>
      </w:r>
    </w:p>
    <w:p>
      <w:pPr>
        <w:spacing w:before="0" w:after="60" w:line="264" w:lineRule="auto"/>
        <w:jc w:val="left"/>
      </w:pPr>
      <w:r>
        <w:rPr>
          <w:rFonts w:ascii="Calibri" w:hAnsi="Calibri" w:eastAsia="微软雅黑"/>
          <w:b/>
          <w:sz w:val="22"/>
        </w:rPr>
        <w:t>负责人：</w:t>
      </w:r>
      <w:r>
        <w:rPr>
          <w:rFonts w:ascii="Calibri" w:hAnsi="Calibri" w:eastAsia="微软雅黑"/>
          <w:sz w:val="22"/>
        </w:rPr>
        <w:t>__________</w:t>
      </w:r>
    </w:p>
    <w:p>
      <w:pPr>
        <w:spacing w:before="0" w:after="60" w:line="264" w:lineRule="auto"/>
        <w:jc w:val="left"/>
      </w:pPr>
      <w:r>
        <w:rPr>
          <w:rFonts w:ascii="Calibri" w:hAnsi="Calibri" w:eastAsia="微软雅黑"/>
          <w:b/>
          <w:sz w:val="22"/>
        </w:rPr>
        <w:t>成员姓名与学号：</w:t>
      </w:r>
      <w:r>
        <w:rPr>
          <w:rFonts w:ascii="Calibri" w:hAnsi="Calibri" w:eastAsia="微软雅黑"/>
          <w:sz w:val="22"/>
        </w:rPr>
        <w:t>__________</w:t>
      </w:r>
    </w:p>
    <w:p>
      <w:pPr>
        <w:spacing w:before="0" w:after="60" w:line="264" w:lineRule="auto"/>
        <w:jc w:val="left"/>
      </w:pPr>
      <w:r>
        <w:rPr>
          <w:rFonts w:ascii="Calibri" w:hAnsi="Calibri" w:eastAsia="微软雅黑"/>
          <w:b/>
          <w:sz w:val="22"/>
        </w:rPr>
        <w:t>成员及工作量分配：</w:t>
      </w:r>
      <w:r>
        <w:rPr>
          <w:rFonts w:ascii="Calibri" w:hAnsi="Calibri" w:eastAsia="微软雅黑"/>
          <w:sz w:val="22"/>
        </w:rPr>
        <w:t>待填写</w:t>
      </w:r>
    </w:p>
    <w:p>
      <w:pPr>
        <w:spacing w:before="0" w:after="60" w:line="264" w:lineRule="auto"/>
        <w:jc w:val="left"/>
      </w:pPr>
      <w:r>
        <w:rPr>
          <w:rFonts w:ascii="Calibri" w:hAnsi="Calibri" w:eastAsia="微软雅黑"/>
          <w:b/>
          <w:sz w:val="22"/>
        </w:rPr>
        <w:t>GitHub 仓库：</w:t>
      </w:r>
      <w:r>
        <w:rPr>
          <w:rFonts w:ascii="Calibri" w:hAnsi="Calibri" w:eastAsia="微软雅黑"/>
          <w:sz w:val="22"/>
        </w:rPr>
        <w:t>https://github.com/Esonk/Machine-Learning-Major-Assignment</w:t>
      </w:r>
    </w:p>
    <w:p>
      <w:pPr>
        <w:spacing w:before="0" w:after="60" w:line="264" w:lineRule="auto"/>
        <w:jc w:val="left"/>
      </w:pPr>
      <w:r>
        <w:rPr>
          <w:rFonts w:ascii="Calibri" w:hAnsi="Calibri" w:eastAsia="微软雅黑"/>
          <w:b/>
          <w:sz w:val="22"/>
        </w:rPr>
        <w:t>完成日期：</w:t>
      </w:r>
      <w:r>
        <w:rPr>
          <w:rFonts w:ascii="Calibri" w:hAnsi="Calibri" w:eastAsia="微软雅黑"/>
          <w:sz w:val="22"/>
        </w:rPr>
        <w:t>2026 年 6 月 9 日</w:t>
      </w:r>
    </w:p>
    <w:p>
      <w:pPr>
        <w:spacing w:before="240" w:after="200" w:line="264" w:lineRule="auto"/>
        <w:jc w:val="left"/>
        <w:pBdr>
          <w:bottom w:val="single" w:sz="12" w:space="6" w:color="2E74B5"/>
        </w:pBdr>
      </w:pPr>
    </w:p>
    <w:p>
      <w:pPr>
        <w:spacing w:before="0" w:after="120" w:line="264" w:lineRule="auto"/>
        <w:jc w:val="left"/>
      </w:pPr>
      <w:r>
        <w:rPr>
          <w:rFonts w:ascii="Calibri" w:hAnsi="Calibri" w:eastAsia="微软雅黑"/>
        </w:rPr>
        <w:t>说明：本报告依据课程完整大作业报告模板撰写，成员信息与工作量分配保留为可编辑占位，提交前可由小组按实际情况补充。</w:t>
      </w:r>
    </w:p>
    <w:p>
      <w:r>
        <w:br w:type="page"/>
      </w:r>
    </w:p>
    <w:p>
      <w:pPr>
        <w:pStyle w:val="Heading1"/>
        <w:keepNext/>
      </w:pPr>
      <w:r>
        <w:t>目录</w:t>
      </w:r>
    </w:p>
    <w:p>
      <w:pPr>
        <w:spacing w:before="0" w:after="60" w:line="264" w:lineRule="auto"/>
        <w:ind w:left="216"/>
        <w:jc w:val="left"/>
      </w:pPr>
      <w:r>
        <w:rPr>
          <w:rFonts w:ascii="Calibri" w:hAnsi="Calibri" w:eastAsia="微软雅黑"/>
          <w:sz w:val="22"/>
        </w:rPr>
        <w:t>摘要</w:t>
      </w:r>
    </w:p>
    <w:p>
      <w:pPr>
        <w:spacing w:before="0" w:after="60" w:line="264" w:lineRule="auto"/>
        <w:ind w:left="216"/>
        <w:jc w:val="left"/>
      </w:pPr>
      <w:r>
        <w:rPr>
          <w:rFonts w:ascii="Calibri" w:hAnsi="Calibri" w:eastAsia="微软雅黑"/>
          <w:sz w:val="22"/>
        </w:rPr>
        <w:t>1 项目背景与任务说明</w:t>
      </w:r>
    </w:p>
    <w:p>
      <w:pPr>
        <w:spacing w:before="0" w:after="60" w:line="264" w:lineRule="auto"/>
        <w:ind w:left="216"/>
        <w:jc w:val="left"/>
      </w:pPr>
      <w:r>
        <w:rPr>
          <w:rFonts w:ascii="Calibri" w:hAnsi="Calibri" w:eastAsia="微软雅黑"/>
          <w:sz w:val="22"/>
        </w:rPr>
        <w:t>2 数据集与预处理</w:t>
      </w:r>
    </w:p>
    <w:p>
      <w:pPr>
        <w:spacing w:before="0" w:after="60" w:line="264" w:lineRule="auto"/>
        <w:ind w:left="216"/>
        <w:jc w:val="left"/>
      </w:pPr>
      <w:r>
        <w:rPr>
          <w:rFonts w:ascii="Calibri" w:hAnsi="Calibri" w:eastAsia="微软雅黑"/>
          <w:sz w:val="22"/>
        </w:rPr>
        <w:t>3 模型设计与训练方法</w:t>
      </w:r>
    </w:p>
    <w:p>
      <w:pPr>
        <w:spacing w:before="0" w:after="60" w:line="264" w:lineRule="auto"/>
        <w:ind w:left="216"/>
        <w:jc w:val="left"/>
      </w:pPr>
      <w:r>
        <w:rPr>
          <w:rFonts w:ascii="Calibri" w:hAnsi="Calibri" w:eastAsia="微软雅黑"/>
          <w:sz w:val="22"/>
        </w:rPr>
        <w:t>4 工程实现与文件说明</w:t>
      </w:r>
    </w:p>
    <w:p>
      <w:pPr>
        <w:spacing w:before="0" w:after="60" w:line="264" w:lineRule="auto"/>
        <w:ind w:left="216"/>
        <w:jc w:val="left"/>
      </w:pPr>
      <w:r>
        <w:rPr>
          <w:rFonts w:ascii="Calibri" w:hAnsi="Calibri" w:eastAsia="微软雅黑"/>
          <w:sz w:val="22"/>
        </w:rPr>
        <w:t>5 实验结果与分析</w:t>
      </w:r>
    </w:p>
    <w:p>
      <w:pPr>
        <w:spacing w:before="0" w:after="60" w:line="264" w:lineRule="auto"/>
        <w:ind w:left="216"/>
        <w:jc w:val="left"/>
      </w:pPr>
      <w:r>
        <w:rPr>
          <w:rFonts w:ascii="Calibri" w:hAnsi="Calibri" w:eastAsia="微软雅黑"/>
          <w:sz w:val="22"/>
        </w:rPr>
        <w:t>6 结论、不足与改进方向</w:t>
      </w:r>
    </w:p>
    <w:p>
      <w:pPr>
        <w:spacing w:before="0" w:after="60" w:line="264" w:lineRule="auto"/>
        <w:ind w:left="216"/>
        <w:jc w:val="left"/>
      </w:pPr>
      <w:r>
        <w:rPr>
          <w:rFonts w:ascii="Calibri" w:hAnsi="Calibri" w:eastAsia="微软雅黑"/>
          <w:sz w:val="22"/>
        </w:rPr>
        <w:t>参考资料</w:t>
      </w:r>
    </w:p>
    <w:p>
      <w:pPr>
        <w:spacing w:before="0" w:after="60" w:line="264" w:lineRule="auto"/>
        <w:ind w:left="216"/>
        <w:jc w:val="left"/>
      </w:pPr>
      <w:r>
        <w:rPr>
          <w:rFonts w:ascii="Calibri" w:hAnsi="Calibri" w:eastAsia="微软雅黑"/>
          <w:sz w:val="22"/>
        </w:rPr>
        <w:t>附录</w:t>
      </w:r>
    </w:p>
    <w:p>
      <w:r>
        <w:br w:type="page"/>
      </w:r>
    </w:p>
    <w:p>
      <w:pPr>
        <w:pStyle w:val="Heading1"/>
        <w:keepNext/>
      </w:pPr>
      <w:r>
        <w:t>摘要</w:t>
      </w:r>
    </w:p>
    <w:p>
      <w:pPr>
        <w:spacing w:before="0" w:after="120" w:line="264" w:lineRule="auto"/>
        <w:jc w:val="left"/>
      </w:pPr>
      <w:r>
        <w:rPr>
          <w:rFonts w:ascii="Calibri" w:hAnsi="Calibri" w:eastAsia="微软雅黑"/>
        </w:rPr>
        <w:t>本项目面向 Kaggle 平台 Breast Cancer Wisconsin 乳腺癌数据集，完成良性肿瘤与恶性肿瘤的二分类建模、训练、测试和可视化分析。实验使用 PyTorch 完成，围绕 30 个细胞核数值特征构建线性分类器、浅层多层感知机、深层多层感知机和一维卷积网络四类神经网络分类方法，并通过 Accuracy、Precision、Recall、F1-score、Specificity、ROC-AUC 和混淆矩阵等指标比较模型表现。</w:t>
      </w:r>
    </w:p>
    <w:p>
      <w:pPr>
        <w:spacing w:before="0" w:after="120" w:line="264" w:lineRule="auto"/>
        <w:jc w:val="left"/>
      </w:pPr>
      <w:r>
        <w:rPr>
          <w:rFonts w:ascii="Calibri" w:hAnsi="Calibri" w:eastAsia="微软雅黑"/>
        </w:rPr>
        <w:t>实验结果表明，LinearClassifier、ShallowMLP 与 DeepMLP 在测试集上均达到 0.9882 的 Accuracy 和 0.9841 的 F1-score，其中 DeepMLP 的测试损失最低；FeatureCNN1D 的 Accuracy 为 0.9529，ROC-AUC 为 0.9906。整体来看，该数据集特征维度较低且区分度较强，标准化后的线性模型和 MLP 模型已能取得稳定表现，一维卷积网络可作为特征局部组合模式的探索性对比方法。</w:t>
      </w:r>
    </w:p>
    <w:p>
      <w:pPr>
        <w:spacing w:before="0" w:after="120" w:line="264" w:lineRule="auto"/>
        <w:jc w:val="left"/>
      </w:pPr>
      <w:r>
        <w:rPr>
          <w:rFonts w:ascii="Calibri" w:hAnsi="Calibri" w:eastAsia="微软雅黑"/>
          <w:b/>
        </w:rPr>
        <w:t>关键词：</w:t>
      </w:r>
      <w:r>
        <w:rPr>
          <w:rFonts w:ascii="Calibri" w:hAnsi="Calibri" w:eastAsia="微软雅黑"/>
        </w:rPr>
        <w:t>PyTorch；乳腺癌分类；二分类；多层感知机；一维卷积网络；模型评估</w:t>
      </w:r>
    </w:p>
    <w:p>
      <w:pPr>
        <w:pStyle w:val="Heading1"/>
        <w:keepNext/>
      </w:pPr>
      <w:r>
        <w:t>1 项目背景与任务说明</w:t>
      </w:r>
    </w:p>
    <w:p>
      <w:pPr>
        <w:spacing w:before="0" w:after="120" w:line="264" w:lineRule="auto"/>
        <w:jc w:val="left"/>
      </w:pPr>
      <w:r>
        <w:rPr>
          <w:rFonts w:ascii="Calibri" w:hAnsi="Calibri" w:eastAsia="微软雅黑"/>
        </w:rPr>
        <w:t>乳腺癌良恶性辅助分类是机器学习二分类任务中的典型应用场景。Kaggle 平台提供的 Breast Cancer Wisconsin 数据集包含肿瘤细胞核的半径、纹理、周长、面积、平滑度、凹度、对称性等数值特征，标签表示样本对应肿瘤类型为良性或恶性。本大作业的目标是基于该数据集完成完整的机器学习工程流程：数据读取与清洗、训练集/验证集/测试集划分、特征标准化、四种分类模型训练、评价指标计算、图表可视化以及工程文件整理。</w:t>
      </w:r>
    </w:p>
    <w:p>
      <w:pPr>
        <w:spacing w:before="0" w:after="120" w:line="264" w:lineRule="auto"/>
        <w:jc w:val="left"/>
      </w:pPr>
      <w:r>
        <w:rPr>
          <w:rFonts w:ascii="Calibri" w:hAnsi="Calibri" w:eastAsia="微软雅黑"/>
        </w:rPr>
        <w:t>项目除 Notebook 实验记录外，还提供一键训练脚本、单样本预测脚本、四个单模型脚本、四个单模型 Notebook、HTML 导出文件、训练权重和结果图。GitHub 仓库用于保存完整源代码、训练数据和实验结果，便于复现和提交检查。</w:t>
      </w:r>
    </w:p>
    <w:p>
      <w:pPr>
        <w:pStyle w:val="Heading1"/>
        <w:keepNext/>
      </w:pPr>
      <w:r>
        <w:t>2 数据集与预处理</w:t>
      </w:r>
    </w:p>
    <w:p>
      <w:pPr>
        <w:pStyle w:val="Heading2"/>
        <w:keepNext/>
      </w:pPr>
      <w:r>
        <w:t>2.1 数据集基本信息</w:t>
      </w:r>
    </w:p>
    <w:tbl>
      <w:tblPr>
        <w:tblStyle w:val="a3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数据集名称</w:t>
            </w:r>
          </w:p>
        </w:tc>
        <w:tc>
          <w:tcPr>
            <w:tcW w:type="dxa" w:w="67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Breast Cancer Wisconsin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数据来源</w:t>
            </w:r>
          </w:p>
        </w:tc>
        <w:tc>
          <w:tcPr>
            <w:tcW w:type="dxa" w:w="67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Kaggle 数据集：priyanka841/breast-cancer-wisconsin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本地数据文件</w:t>
            </w:r>
          </w:p>
        </w:tc>
        <w:tc>
          <w:tcPr>
            <w:tcW w:type="dxa" w:w="67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数据集/breast cancer.csv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原始样本数量</w:t>
            </w:r>
          </w:p>
        </w:tc>
        <w:tc>
          <w:tcPr>
            <w:tcW w:type="dxa" w:w="67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569 条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原始字段数量</w:t>
            </w:r>
          </w:p>
        </w:tc>
        <w:tc>
          <w:tcPr>
            <w:tcW w:type="dxa" w:w="67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33 列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清洗后输入特征</w:t>
            </w:r>
          </w:p>
        </w:tc>
        <w:tc>
          <w:tcPr>
            <w:tcW w:type="dxa" w:w="67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30 个数值特征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分类标签</w:t>
            </w:r>
          </w:p>
        </w:tc>
        <w:tc>
          <w:tcPr>
            <w:tcW w:type="dxa" w:w="67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diagnosis：B 表示良性，M 表示恶性</w:t>
            </w:r>
          </w:p>
        </w:tc>
      </w:tr>
    </w:tbl>
    <w:p>
      <w:pPr>
        <w:spacing w:before="0" w:after="80" w:line="264" w:lineRule="auto"/>
        <w:jc w:val="left"/>
      </w:pPr>
    </w:p>
    <w:p>
      <w:pPr>
        <w:spacing w:before="0" w:after="120" w:line="264" w:lineRule="auto"/>
        <w:jc w:val="left"/>
      </w:pPr>
      <w:r>
        <w:rPr>
          <w:rFonts w:ascii="Calibri" w:hAnsi="Calibri" w:eastAsia="微软雅黑"/>
        </w:rPr>
        <w:t>原始数据中 id 字段仅为样本编号，不参与模型训练；Unnamed: 32 为空列，也不具备建模意义。因此预处理阶段删除这两列，只保留 diagnosis 标签列和 30 个数值特征。标签映射为 B=0、M=1，便于使用神经网络二分类输出。</w:t>
      </w:r>
    </w:p>
    <w:p>
      <w:pPr>
        <w:pStyle w:val="Heading2"/>
        <w:keepNext/>
      </w:pPr>
      <w:r>
        <w:t>2.2 标签分布与数据划分</w:t>
      </w:r>
    </w:p>
    <w:p>
      <w:pPr>
        <w:spacing w:before="0" w:after="120" w:line="264" w:lineRule="auto"/>
        <w:jc w:val="left"/>
      </w:pPr>
      <w:r>
        <w:rPr>
          <w:rFonts w:ascii="Calibri" w:hAnsi="Calibri" w:eastAsia="微软雅黑"/>
        </w:rPr>
        <w:t>清洗后共有 569 条样本，其中良性样本 357 条、恶性样本 212 条。为了保持训练和测试阶段类别比例稳定，实验采用固定随机种子 42 进行分层划分，训练集、验证集、测试集比例为 70%、15%、15%。标准化参数只由训练集计算，验证集和测试集复用训练集均值与标准差，避免把验证或测试信息泄漏到训练阶段。</w:t>
      </w:r>
    </w:p>
    <w:tbl>
      <w:tblPr>
        <w:tblStyle w:val="a3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1350"/>
        <w:gridCol w:w="1350"/>
        <w:gridCol w:w="1350"/>
        <w:gridCol w:w="3860"/>
      </w:tblGrid>
      <w:tr>
        <w:trPr>
          <w:tblHeader w:val="true"/>
        </w:trP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/>
                <w:color w:val="0B2545"/>
                <w:sz w:val="18"/>
              </w:rPr>
              <w:t>数据子集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/>
                <w:color w:val="0B2545"/>
                <w:sz w:val="18"/>
              </w:rPr>
              <w:t>总样本数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/>
                <w:color w:val="0B2545"/>
                <w:sz w:val="18"/>
              </w:rPr>
              <w:t>良性 B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/>
                <w:color w:val="0B2545"/>
                <w:sz w:val="18"/>
              </w:rPr>
              <w:t>恶性 M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/>
                <w:color w:val="0B2545"/>
                <w:sz w:val="18"/>
              </w:rPr>
              <w:t>用途</w:t>
            </w:r>
          </w:p>
        </w:tc>
      </w:tr>
      <w:tr>
        <w:tc>
          <w:tcPr>
            <w:tcW w:type="dxa" w:w="14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训练集</w:t>
            </w:r>
          </w:p>
        </w:tc>
        <w:tc>
          <w:tcPr>
            <w:tcW w:type="dxa" w:w="13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398</w:t>
            </w:r>
          </w:p>
        </w:tc>
        <w:tc>
          <w:tcPr>
            <w:tcW w:type="dxa" w:w="13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250</w:t>
            </w:r>
          </w:p>
        </w:tc>
        <w:tc>
          <w:tcPr>
            <w:tcW w:type="dxa" w:w="13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148</w:t>
            </w:r>
          </w:p>
        </w:tc>
        <w:tc>
          <w:tcPr>
            <w:tcW w:type="dxa" w:w="38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模型参数学习</w:t>
            </w:r>
          </w:p>
        </w:tc>
      </w:tr>
      <w:tr>
        <w:tc>
          <w:tcPr>
            <w:tcW w:type="dxa" w:w="14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验证集</w:t>
            </w:r>
          </w:p>
        </w:tc>
        <w:tc>
          <w:tcPr>
            <w:tcW w:type="dxa" w:w="13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86</w:t>
            </w:r>
          </w:p>
        </w:tc>
        <w:tc>
          <w:tcPr>
            <w:tcW w:type="dxa" w:w="13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54</w:t>
            </w:r>
          </w:p>
        </w:tc>
        <w:tc>
          <w:tcPr>
            <w:tcW w:type="dxa" w:w="13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32</w:t>
            </w:r>
          </w:p>
        </w:tc>
        <w:tc>
          <w:tcPr>
            <w:tcW w:type="dxa" w:w="38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早停判断和最优权重选择</w:t>
            </w:r>
          </w:p>
        </w:tc>
      </w:tr>
      <w:tr>
        <w:tc>
          <w:tcPr>
            <w:tcW w:type="dxa" w:w="14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测试集</w:t>
            </w:r>
          </w:p>
        </w:tc>
        <w:tc>
          <w:tcPr>
            <w:tcW w:type="dxa" w:w="13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85</w:t>
            </w:r>
          </w:p>
        </w:tc>
        <w:tc>
          <w:tcPr>
            <w:tcW w:type="dxa" w:w="13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53</w:t>
            </w:r>
          </w:p>
        </w:tc>
        <w:tc>
          <w:tcPr>
            <w:tcW w:type="dxa" w:w="13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32</w:t>
            </w:r>
          </w:p>
        </w:tc>
        <w:tc>
          <w:tcPr>
            <w:tcW w:type="dxa" w:w="38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最终泛化性能评估</w:t>
            </w:r>
          </w:p>
        </w:tc>
      </w:tr>
    </w:tbl>
    <w:p>
      <w:pPr>
        <w:spacing w:before="0" w:after="80" w:line="264" w:lineRule="auto"/>
        <w:jc w:val="left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46320" cy="3230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stribu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2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微软雅黑"/>
          <w:color w:val="666666"/>
          <w:sz w:val="19"/>
        </w:rPr>
        <w:t>图 1 标签类别分布</w:t>
      </w:r>
    </w:p>
    <w:p>
      <w:pPr>
        <w:spacing w:before="0" w:after="120" w:line="264" w:lineRule="auto"/>
        <w:jc w:val="left"/>
      </w:pPr>
      <w:r>
        <w:rPr>
          <w:rFonts w:ascii="Calibri" w:hAnsi="Calibri" w:eastAsia="微软雅黑"/>
        </w:rPr>
        <w:t>图 1 显示良性样本数量多于恶性样本，但两类样本均具有足够规模。模型评价时不能只看 Accuracy，还需要结合 Recall、Specificity、F1-score 和混淆矩阵观察两类样本的识别情况。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44185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correlation_heat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418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微软雅黑"/>
          <w:color w:val="666666"/>
          <w:sz w:val="19"/>
        </w:rPr>
        <w:t>图 2 特征相关性热力图</w:t>
      </w:r>
    </w:p>
    <w:p>
      <w:pPr>
        <w:spacing w:before="0" w:after="120" w:line="264" w:lineRule="auto"/>
        <w:jc w:val="left"/>
      </w:pPr>
      <w:r>
        <w:rPr>
          <w:rFonts w:ascii="Calibri" w:hAnsi="Calibri" w:eastAsia="微软雅黑"/>
        </w:rPr>
        <w:t>图 2 表明部分半径、周长、面积相关特征之间具有较强相关性，说明数据中存在冗余信息。神经网络模型可以在标准化输入基础上学习特征权重与组合关系，但过深模型也可能在小样本表格数据上引入额外波动，因此本实验同时比较简单模型和复杂模型。</w:t>
      </w:r>
    </w:p>
    <w:p>
      <w:pPr>
        <w:pStyle w:val="Heading1"/>
        <w:keepNext/>
      </w:pPr>
      <w:r>
        <w:t>3 模型设计与训练方法</w:t>
      </w:r>
    </w:p>
    <w:p>
      <w:pPr>
        <w:pStyle w:val="Heading2"/>
        <w:keepNext/>
      </w:pPr>
      <w:r>
        <w:t>3.1 四种分类模型</w:t>
      </w:r>
    </w:p>
    <w:tbl>
      <w:tblPr>
        <w:tblStyle w:val="a3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000"/>
        <w:gridCol w:w="3660"/>
      </w:tblGrid>
      <w:tr>
        <w:trPr>
          <w:tblHeader w:val="true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/>
                <w:color w:val="0B2545"/>
                <w:sz w:val="18"/>
              </w:rPr>
              <w:t>模型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/>
                <w:color w:val="0B2545"/>
                <w:sz w:val="18"/>
              </w:rPr>
              <w:t>结构设计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/>
                <w:color w:val="0B2545"/>
                <w:sz w:val="18"/>
              </w:rPr>
              <w:t>设计目的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LinearClassifier</w:t>
            </w:r>
          </w:p>
        </w:tc>
        <w:tc>
          <w:tcPr>
            <w:tcW w:type="dxa" w:w="40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30 维输入直接连接到 2 维输出</w:t>
            </w:r>
          </w:p>
        </w:tc>
        <w:tc>
          <w:tcPr>
            <w:tcW w:type="dxa" w:w="36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作为最简单基线，检验线性可分程度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ShallowMLP</w:t>
            </w:r>
          </w:p>
        </w:tc>
        <w:tc>
          <w:tcPr>
            <w:tcW w:type="dxa" w:w="40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Linear(30,32) + ReLU + Linear(32,2)</w:t>
            </w:r>
          </w:p>
        </w:tc>
        <w:tc>
          <w:tcPr>
            <w:tcW w:type="dxa" w:w="36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通过一层隐藏层学习非线性特征组合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DeepMLP</w:t>
            </w:r>
          </w:p>
        </w:tc>
        <w:tc>
          <w:tcPr>
            <w:tcW w:type="dxa" w:w="40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30→64→32→16→2，含 BatchNorm 和 Dropout</w:t>
            </w:r>
          </w:p>
        </w:tc>
        <w:tc>
          <w:tcPr>
            <w:tcW w:type="dxa" w:w="36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提升表达能力并通过正则化控制过拟合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FeatureCNN1D</w:t>
            </w:r>
          </w:p>
        </w:tc>
        <w:tc>
          <w:tcPr>
            <w:tcW w:type="dxa" w:w="40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将 30 个特征视为一维序列，Conv1d(1,16) 和 Conv1d(16,32) 后分类</w:t>
            </w:r>
          </w:p>
        </w:tc>
        <w:tc>
          <w:tcPr>
            <w:tcW w:type="dxa" w:w="36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探索相邻特征局部组合对分类的影响</w:t>
            </w:r>
          </w:p>
        </w:tc>
      </w:tr>
    </w:tbl>
    <w:p>
      <w:pPr>
        <w:spacing w:before="0" w:after="80" w:line="264" w:lineRule="auto"/>
        <w:jc w:val="left"/>
      </w:pPr>
    </w:p>
    <w:p>
      <w:pPr>
        <w:spacing w:before="0" w:after="120" w:line="264" w:lineRule="auto"/>
        <w:jc w:val="left"/>
      </w:pPr>
      <w:r>
        <w:rPr>
          <w:rFonts w:ascii="Calibri" w:hAnsi="Calibri" w:eastAsia="微软雅黑"/>
        </w:rPr>
        <w:t>四个模型的输出维度均为 2，对应良性和恶性两个类别。训练阶段使用 CrossEntropyLoss，该损失函数内部完成类别 logits 到概率分布的处理；预测阶段再通过 softmax 得到良性概率和恶性概率。</w:t>
      </w:r>
    </w:p>
    <w:p>
      <w:pPr>
        <w:pStyle w:val="Heading2"/>
        <w:keepNext/>
      </w:pPr>
      <w:r>
        <w:t>3.2 训练配置与评价指标</w:t>
      </w:r>
    </w:p>
    <w:tbl>
      <w:tblPr>
        <w:tblStyle w:val="a3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/>
                <w:color w:val="0B2545"/>
                <w:sz w:val="18"/>
              </w:rPr>
              <w:t>配置项</w:t>
            </w:r>
          </w:p>
        </w:tc>
        <w:tc>
          <w:tcPr>
            <w:tcW w:type="dxa" w:w="6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/>
                <w:color w:val="0B2545"/>
                <w:sz w:val="18"/>
              </w:rPr>
              <w:t>设置</w:t>
            </w:r>
          </w:p>
        </w:tc>
      </w:tr>
      <w:tr>
        <w:tc>
          <w:tcPr>
            <w:tcW w:type="dxa" w:w="28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随机种子</w:t>
            </w:r>
          </w:p>
        </w:tc>
        <w:tc>
          <w:tcPr>
            <w:tcW w:type="dxa" w:w="65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42</w:t>
            </w:r>
          </w:p>
        </w:tc>
      </w:tr>
      <w:tr>
        <w:tc>
          <w:tcPr>
            <w:tcW w:type="dxa" w:w="28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优化器</w:t>
            </w:r>
          </w:p>
        </w:tc>
        <w:tc>
          <w:tcPr>
            <w:tcW w:type="dxa" w:w="65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Adam</w:t>
            </w:r>
          </w:p>
        </w:tc>
      </w:tr>
      <w:tr>
        <w:tc>
          <w:tcPr>
            <w:tcW w:type="dxa" w:w="28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学习率</w:t>
            </w:r>
          </w:p>
        </w:tc>
        <w:tc>
          <w:tcPr>
            <w:tcW w:type="dxa" w:w="65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1e-3</w:t>
            </w:r>
          </w:p>
        </w:tc>
      </w:tr>
      <w:tr>
        <w:tc>
          <w:tcPr>
            <w:tcW w:type="dxa" w:w="28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权重衰减</w:t>
            </w:r>
          </w:p>
        </w:tc>
        <w:tc>
          <w:tcPr>
            <w:tcW w:type="dxa" w:w="65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1e-4</w:t>
            </w:r>
          </w:p>
        </w:tc>
      </w:tr>
      <w:tr>
        <w:tc>
          <w:tcPr>
            <w:tcW w:type="dxa" w:w="28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批量大小</w:t>
            </w:r>
          </w:p>
        </w:tc>
        <w:tc>
          <w:tcPr>
            <w:tcW w:type="dxa" w:w="65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32</w:t>
            </w:r>
          </w:p>
        </w:tc>
      </w:tr>
      <w:tr>
        <w:tc>
          <w:tcPr>
            <w:tcW w:type="dxa" w:w="28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最大训练轮数</w:t>
            </w:r>
          </w:p>
        </w:tc>
        <w:tc>
          <w:tcPr>
            <w:tcW w:type="dxa" w:w="65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300</w:t>
            </w:r>
          </w:p>
        </w:tc>
      </w:tr>
      <w:tr>
        <w:tc>
          <w:tcPr>
            <w:tcW w:type="dxa" w:w="28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早停策略</w:t>
            </w:r>
          </w:p>
        </w:tc>
        <w:tc>
          <w:tcPr>
            <w:tcW w:type="dxa" w:w="65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验证集 loss 连续 30 轮无提升则停止</w:t>
            </w:r>
          </w:p>
        </w:tc>
      </w:tr>
      <w:tr>
        <w:tc>
          <w:tcPr>
            <w:tcW w:type="dxa" w:w="28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权重保存</w:t>
            </w:r>
          </w:p>
        </w:tc>
        <w:tc>
          <w:tcPr>
            <w:tcW w:type="dxa" w:w="65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保存验证集 F1-score 最优的模型权重</w:t>
            </w:r>
          </w:p>
        </w:tc>
      </w:tr>
    </w:tbl>
    <w:p>
      <w:pPr>
        <w:spacing w:before="0" w:after="80" w:line="264" w:lineRule="auto"/>
        <w:jc w:val="left"/>
      </w:pPr>
    </w:p>
    <w:p>
      <w:pPr>
        <w:spacing w:before="0" w:after="120" w:line="264" w:lineRule="auto"/>
        <w:jc w:val="left"/>
      </w:pPr>
      <w:r>
        <w:rPr>
          <w:rFonts w:ascii="Calibri" w:hAnsi="Calibri" w:eastAsia="微软雅黑"/>
        </w:rPr>
        <w:t>评价指标包括 Accuracy、Precision、Recall、Specificity、F1-score、ROC-AUC 和 Confusion Matrix。其中 Recall 关注恶性样本被正确识别的比例，Specificity 关注良性样本被正确识别的比例，F1-score 综合 Precision 与 Recall，ROC-AUC 衡量不同阈值下模型区分类别的整体能力。</w:t>
      </w:r>
    </w:p>
    <w:p>
      <w:pPr>
        <w:pStyle w:val="Heading1"/>
        <w:keepNext/>
      </w:pPr>
      <w:r>
        <w:t>4 工程实现与文件说明</w:t>
      </w:r>
    </w:p>
    <w:p>
      <w:pPr>
        <w:spacing w:before="0" w:after="120" w:line="264" w:lineRule="auto"/>
        <w:jc w:val="left"/>
      </w:pPr>
      <w:r>
        <w:rPr>
          <w:rFonts w:ascii="Calibri" w:hAnsi="Calibri" w:eastAsia="微软雅黑"/>
        </w:rPr>
        <w:t>工程目录独立放置在 D:\桌面\机器学习大作业\一.大作业\2代码\2.3乳腺癌分类。目录结构按课程提交要求整理，包含数据、Notebook、Python 源码、HTML 导出、结果图、训练权重、指标表和说明文档。</w:t>
      </w:r>
    </w:p>
    <w:tbl>
      <w:tblPr>
        <w:tblStyle w:val="a3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/>
                <w:color w:val="0B2545"/>
                <w:sz w:val="18"/>
              </w:rPr>
              <w:t>文件或目录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3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数据集/breast cancer.csv</w:t>
            </w:r>
          </w:p>
        </w:tc>
        <w:tc>
          <w:tcPr>
            <w:tcW w:type="dxa" w:w="57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Kaggle 下载后的完整训练数据</w:t>
            </w:r>
          </w:p>
        </w:tc>
      </w:tr>
      <w:tr>
        <w:tc>
          <w:tcPr>
            <w:tcW w:type="dxa" w:w="3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大作业代码/breast_cancer_pytorch.ipynb</w:t>
            </w:r>
          </w:p>
        </w:tc>
        <w:tc>
          <w:tcPr>
            <w:tcW w:type="dxa" w:w="57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完整实验流程 Notebook，包含 Markdown 分析、代码和输出</w:t>
            </w:r>
          </w:p>
        </w:tc>
      </w:tr>
      <w:tr>
        <w:tc>
          <w:tcPr>
            <w:tcW w:type="dxa" w:w="3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大作业代码/LinearClassifier.py 等四个脚本</w:t>
            </w:r>
          </w:p>
        </w:tc>
        <w:tc>
          <w:tcPr>
            <w:tcW w:type="dxa" w:w="57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四个模型分别对应的独立训练脚本</w:t>
            </w:r>
          </w:p>
        </w:tc>
      </w:tr>
      <w:tr>
        <w:tc>
          <w:tcPr>
            <w:tcW w:type="dxa" w:w="3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大作业代码/LinearClassifier（线性分类器）.ipynb 等四个 Notebook</w:t>
            </w:r>
          </w:p>
        </w:tc>
        <w:tc>
          <w:tcPr>
            <w:tcW w:type="dxa" w:w="57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按模型拆分的 Notebook 实验文件</w:t>
            </w:r>
          </w:p>
        </w:tc>
      </w:tr>
      <w:tr>
        <w:tc>
          <w:tcPr>
            <w:tcW w:type="dxa" w:w="3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大作业代码/train_models.py</w:t>
            </w:r>
          </w:p>
        </w:tc>
        <w:tc>
          <w:tcPr>
            <w:tcW w:type="dxa" w:w="57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一键训练四个模型并保存结果</w:t>
            </w:r>
          </w:p>
        </w:tc>
      </w:tr>
      <w:tr>
        <w:tc>
          <w:tcPr>
            <w:tcW w:type="dxa" w:w="3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大作业代码/predict_one.py</w:t>
            </w:r>
          </w:p>
        </w:tc>
        <w:tc>
          <w:tcPr>
            <w:tcW w:type="dxa" w:w="57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加载最佳模型并完成单样本预测</w:t>
            </w:r>
          </w:p>
        </w:tc>
      </w:tr>
      <w:tr>
        <w:tc>
          <w:tcPr>
            <w:tcW w:type="dxa" w:w="3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html格式/*.html</w:t>
            </w:r>
          </w:p>
        </w:tc>
        <w:tc>
          <w:tcPr>
            <w:tcW w:type="dxa" w:w="57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Notebook 导出的 HTML 结果文件</w:t>
            </w:r>
          </w:p>
        </w:tc>
      </w:tr>
      <w:tr>
        <w:tc>
          <w:tcPr>
            <w:tcW w:type="dxa" w:w="3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结果图/*.png</w:t>
            </w:r>
          </w:p>
        </w:tc>
        <w:tc>
          <w:tcPr>
            <w:tcW w:type="dxa" w:w="57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类别分布、热力图、训练曲线、混淆矩阵、ROC 曲线和模型对比图</w:t>
            </w:r>
          </w:p>
        </w:tc>
      </w:tr>
      <w:tr>
        <w:tc>
          <w:tcPr>
            <w:tcW w:type="dxa" w:w="3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results/*.pt / *.csv / *.json</w:t>
            </w:r>
          </w:p>
        </w:tc>
        <w:tc>
          <w:tcPr>
            <w:tcW w:type="dxa" w:w="57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模型权重、训练历史、指标表和标准化参数</w:t>
            </w:r>
          </w:p>
        </w:tc>
      </w:tr>
      <w:tr>
        <w:tc>
          <w:tcPr>
            <w:tcW w:type="dxa" w:w="3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README.md / requirements.txt</w:t>
            </w:r>
          </w:p>
        </w:tc>
        <w:tc>
          <w:tcPr>
            <w:tcW w:type="dxa" w:w="57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项目说明和运行依赖</w:t>
            </w:r>
          </w:p>
        </w:tc>
      </w:tr>
    </w:tbl>
    <w:p>
      <w:pPr>
        <w:spacing w:before="0" w:after="80" w:line="264" w:lineRule="auto"/>
        <w:jc w:val="left"/>
      </w:pPr>
    </w:p>
    <w:p>
      <w:pPr>
        <w:spacing w:before="0" w:after="120" w:line="264" w:lineRule="auto"/>
        <w:jc w:val="left"/>
      </w:pPr>
      <w:r>
        <w:rPr>
          <w:rFonts w:ascii="Calibri" w:hAnsi="Calibri" w:eastAsia="微软雅黑"/>
        </w:rPr>
        <w:t>GitHub 仓库链接：https://github.com/Esonk/Machine-Learning-Major-Assignment。提交报告时可将该链接填写到完整版报告的对应位置，用于展示完整源代码和数据文件。</w:t>
      </w:r>
    </w:p>
    <w:p>
      <w:pPr>
        <w:pStyle w:val="Heading1"/>
        <w:keepNext/>
      </w:pPr>
      <w:r>
        <w:t>5 实验结果与分析</w:t>
      </w:r>
    </w:p>
    <w:p>
      <w:pPr>
        <w:pStyle w:val="Heading2"/>
        <w:keepNext/>
      </w:pPr>
      <w:r>
        <w:t>5.1 训练过程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81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curv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微软雅黑"/>
          <w:color w:val="666666"/>
          <w:sz w:val="19"/>
        </w:rPr>
        <w:t>图 3 四个模型训练与验证曲线</w:t>
      </w:r>
    </w:p>
    <w:p>
      <w:pPr>
        <w:spacing w:before="0" w:after="120" w:line="264" w:lineRule="auto"/>
        <w:jc w:val="left"/>
      </w:pPr>
      <w:r>
        <w:rPr>
          <w:rFonts w:ascii="Calibri" w:hAnsi="Calibri" w:eastAsia="微软雅黑"/>
        </w:rPr>
        <w:t>图 3 展示了四个模型训练过程中 loss 和主要指标的变化。数据规模较小，四个模型均能在较少训练轮数内收敛；早停策略避免模型在验证集性能不再提升后继续训练。LinearClassifier 的收敛轮次较多，说明简单线性模型需要更长训练过程达到稳定；ShallowMLP 和 DeepMLP 较快达到较优验证结果。</w:t>
      </w:r>
    </w:p>
    <w:p>
      <w:pPr>
        <w:pStyle w:val="Heading2"/>
        <w:keepNext/>
      </w:pPr>
      <w:r>
        <w:t>5.2 测试集指标对比</w:t>
      </w:r>
    </w:p>
    <w:tbl>
      <w:tblPr>
        <w:tblStyle w:val="a3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900"/>
        <w:gridCol w:w="1000"/>
        <w:gridCol w:w="950"/>
        <w:gridCol w:w="950"/>
        <w:gridCol w:w="900"/>
        <w:gridCol w:w="1100"/>
        <w:gridCol w:w="850"/>
        <w:gridCol w:w="1010"/>
      </w:tblGrid>
      <w:tr>
        <w:trPr>
          <w:tblHeader w:val="true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/>
                <w:color w:val="0B2545"/>
                <w:sz w:val="18"/>
              </w:rPr>
              <w:t>模型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/>
                <w:color w:val="0B2545"/>
                <w:sz w:val="18"/>
              </w:rPr>
              <w:t>最佳轮次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/>
                <w:color w:val="0B2545"/>
                <w:sz w:val="18"/>
              </w:rPr>
              <w:t>测试损失</w:t>
            </w:r>
          </w:p>
        </w:tc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/>
                <w:color w:val="0B2545"/>
                <w:sz w:val="18"/>
              </w:rPr>
              <w:t>Accuracy</w:t>
            </w:r>
          </w:p>
        </w:tc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/>
                <w:color w:val="0B2545"/>
                <w:sz w:val="18"/>
              </w:rPr>
              <w:t>Precision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/>
                <w:color w:val="0B2545"/>
                <w:sz w:val="18"/>
              </w:rPr>
              <w:t>Recall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/>
                <w:color w:val="0B2545"/>
                <w:sz w:val="18"/>
              </w:rPr>
              <w:t>Specificity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/>
                <w:color w:val="0B2545"/>
                <w:sz w:val="18"/>
              </w:rPr>
              <w:t>F1</w:t>
            </w:r>
          </w:p>
        </w:tc>
        <w:tc>
          <w:tcPr>
            <w:tcW w:type="dxa" w:w="10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/>
                <w:color w:val="0B2545"/>
                <w:sz w:val="18"/>
              </w:rPr>
              <w:t>ROC-AUC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LinearClassifier</w:t>
            </w:r>
          </w:p>
        </w:tc>
        <w:tc>
          <w:tcPr>
            <w:tcW w:type="dxa" w:w="9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166</w:t>
            </w:r>
          </w:p>
        </w:tc>
        <w:tc>
          <w:tcPr>
            <w:tcW w:type="dxa" w:w="10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0.0606</w:t>
            </w:r>
          </w:p>
        </w:tc>
        <w:tc>
          <w:tcPr>
            <w:tcW w:type="dxa" w:w="9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0.9882</w:t>
            </w:r>
          </w:p>
        </w:tc>
        <w:tc>
          <w:tcPr>
            <w:tcW w:type="dxa" w:w="9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1.0000</w:t>
            </w:r>
          </w:p>
        </w:tc>
        <w:tc>
          <w:tcPr>
            <w:tcW w:type="dxa" w:w="9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0.9688</w:t>
            </w:r>
          </w:p>
        </w:tc>
        <w:tc>
          <w:tcPr>
            <w:tcW w:type="dxa" w:w="11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1.0000</w:t>
            </w:r>
          </w:p>
        </w:tc>
        <w:tc>
          <w:tcPr>
            <w:tcW w:type="dxa" w:w="8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0.9841</w:t>
            </w:r>
          </w:p>
        </w:tc>
        <w:tc>
          <w:tcPr>
            <w:tcW w:type="dxa" w:w="10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1.0000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ShallowMLP</w:t>
            </w:r>
          </w:p>
        </w:tc>
        <w:tc>
          <w:tcPr>
            <w:tcW w:type="dxa" w:w="9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26</w:t>
            </w:r>
          </w:p>
        </w:tc>
        <w:tc>
          <w:tcPr>
            <w:tcW w:type="dxa" w:w="10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0.0550</w:t>
            </w:r>
          </w:p>
        </w:tc>
        <w:tc>
          <w:tcPr>
            <w:tcW w:type="dxa" w:w="9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0.9882</w:t>
            </w:r>
          </w:p>
        </w:tc>
        <w:tc>
          <w:tcPr>
            <w:tcW w:type="dxa" w:w="9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1.0000</w:t>
            </w:r>
          </w:p>
        </w:tc>
        <w:tc>
          <w:tcPr>
            <w:tcW w:type="dxa" w:w="9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0.9688</w:t>
            </w:r>
          </w:p>
        </w:tc>
        <w:tc>
          <w:tcPr>
            <w:tcW w:type="dxa" w:w="11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1.0000</w:t>
            </w:r>
          </w:p>
        </w:tc>
        <w:tc>
          <w:tcPr>
            <w:tcW w:type="dxa" w:w="8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0.9841</w:t>
            </w:r>
          </w:p>
        </w:tc>
        <w:tc>
          <w:tcPr>
            <w:tcW w:type="dxa" w:w="10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1.0000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DeepMLP</w:t>
            </w:r>
          </w:p>
        </w:tc>
        <w:tc>
          <w:tcPr>
            <w:tcW w:type="dxa" w:w="9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20</w:t>
            </w:r>
          </w:p>
        </w:tc>
        <w:tc>
          <w:tcPr>
            <w:tcW w:type="dxa" w:w="10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0.0366</w:t>
            </w:r>
          </w:p>
        </w:tc>
        <w:tc>
          <w:tcPr>
            <w:tcW w:type="dxa" w:w="9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0.9882</w:t>
            </w:r>
          </w:p>
        </w:tc>
        <w:tc>
          <w:tcPr>
            <w:tcW w:type="dxa" w:w="9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1.0000</w:t>
            </w:r>
          </w:p>
        </w:tc>
        <w:tc>
          <w:tcPr>
            <w:tcW w:type="dxa" w:w="9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0.9688</w:t>
            </w:r>
          </w:p>
        </w:tc>
        <w:tc>
          <w:tcPr>
            <w:tcW w:type="dxa" w:w="11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1.0000</w:t>
            </w:r>
          </w:p>
        </w:tc>
        <w:tc>
          <w:tcPr>
            <w:tcW w:type="dxa" w:w="8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0.9841</w:t>
            </w:r>
          </w:p>
        </w:tc>
        <w:tc>
          <w:tcPr>
            <w:tcW w:type="dxa" w:w="10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1.0000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FeatureCNN1D</w:t>
            </w:r>
          </w:p>
        </w:tc>
        <w:tc>
          <w:tcPr>
            <w:tcW w:type="dxa" w:w="9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152</w:t>
            </w:r>
          </w:p>
        </w:tc>
        <w:tc>
          <w:tcPr>
            <w:tcW w:type="dxa" w:w="10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0.1313</w:t>
            </w:r>
          </w:p>
        </w:tc>
        <w:tc>
          <w:tcPr>
            <w:tcW w:type="dxa" w:w="9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0.9529</w:t>
            </w:r>
          </w:p>
        </w:tc>
        <w:tc>
          <w:tcPr>
            <w:tcW w:type="dxa" w:w="9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0.9375</w:t>
            </w:r>
          </w:p>
        </w:tc>
        <w:tc>
          <w:tcPr>
            <w:tcW w:type="dxa" w:w="9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0.9375</w:t>
            </w:r>
          </w:p>
        </w:tc>
        <w:tc>
          <w:tcPr>
            <w:tcW w:type="dxa" w:w="11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0.9623</w:t>
            </w:r>
          </w:p>
        </w:tc>
        <w:tc>
          <w:tcPr>
            <w:tcW w:type="dxa" w:w="8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0.9375</w:t>
            </w:r>
          </w:p>
        </w:tc>
        <w:tc>
          <w:tcPr>
            <w:tcW w:type="dxa" w:w="10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0.9906</w:t>
            </w:r>
          </w:p>
        </w:tc>
      </w:tr>
    </w:tbl>
    <w:p>
      <w:pPr>
        <w:spacing w:before="0" w:after="80" w:line="264" w:lineRule="auto"/>
        <w:jc w:val="left"/>
      </w:pPr>
    </w:p>
    <w:p>
      <w:pPr>
        <w:spacing w:before="0" w:after="120" w:line="264" w:lineRule="auto"/>
        <w:jc w:val="left"/>
      </w:pPr>
      <w:r>
        <w:rPr>
          <w:rFonts w:ascii="Calibri" w:hAnsi="Calibri" w:eastAsia="微软雅黑"/>
        </w:rPr>
        <w:t>从指标表可见，LinearClassifier、ShallowMLP 和 DeepMLP 在测试集上均只漏判 1 个恶性样本，没有将良性样本误判为恶性，因此 Accuracy、Precision、Recall、Specificity、F1-score 和 ROC-AUC 完全一致。DeepMLP 的测试损失最低，说明它在正确分类基础上输出概率更稳定。FeatureCNN1D 在测试集中出现 2 个假阳性和 2 个假阴性，Accuracy 和 F1-score 低于其他三个模型，但 ROC-AUC 仍达到 0.9906，说明其排序区分能力仍较强。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32120" cy="49174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c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491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微软雅黑"/>
          <w:color w:val="666666"/>
          <w:sz w:val="19"/>
        </w:rPr>
        <w:t>图 4 四个模型测试集混淆矩阵</w:t>
      </w:r>
    </w:p>
    <w:p>
      <w:pPr>
        <w:spacing w:before="0" w:after="120" w:line="264" w:lineRule="auto"/>
        <w:jc w:val="left"/>
      </w:pPr>
      <w:r>
        <w:rPr>
          <w:rFonts w:ascii="Calibri" w:hAnsi="Calibri" w:eastAsia="微软雅黑"/>
        </w:rPr>
        <w:t>图 4 进一步说明，前三个模型的错误集中在 1 个恶性样本漏判，FeatureCNN1D 同时存在良性误判为恶性和恶性误判为良性的情况。对于良恶性二分类任务，混淆矩阵能够比单一准确率更直观地展示错误类型。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32120" cy="474181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urv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4741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微软雅黑"/>
          <w:color w:val="666666"/>
          <w:sz w:val="19"/>
        </w:rPr>
        <w:t>图 5 四个模型 ROC 曲线</w:t>
      </w:r>
    </w:p>
    <w:p>
      <w:pPr>
        <w:spacing w:before="0" w:after="120" w:line="264" w:lineRule="auto"/>
        <w:jc w:val="left"/>
      </w:pPr>
      <w:r>
        <w:rPr>
          <w:rFonts w:ascii="Calibri" w:hAnsi="Calibri" w:eastAsia="微软雅黑"/>
        </w:rPr>
        <w:t>图 5 显示四个模型的 ROC 曲线均靠近左上角，说明它们在不同阈值下都具有较好的区分能力。其中前三个模型测试 ROC-AUC 为 1.0000，FeatureCNN1D 为 0.9906。考虑到测试集规模为 85 条，AUC 差异需要结合混淆矩阵和多次实验进一步判断，不能简单外推为真实临床场景中的绝对性能。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32120" cy="27660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766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微软雅黑"/>
          <w:color w:val="666666"/>
          <w:sz w:val="19"/>
        </w:rPr>
        <w:t>图 6 四个模型主要指标对比</w:t>
      </w:r>
    </w:p>
    <w:p>
      <w:pPr>
        <w:spacing w:before="0" w:after="120" w:line="264" w:lineRule="auto"/>
        <w:jc w:val="left"/>
      </w:pPr>
      <w:r>
        <w:rPr>
          <w:rFonts w:ascii="Calibri" w:hAnsi="Calibri" w:eastAsia="微软雅黑"/>
        </w:rPr>
        <w:t>图 6 对比了各模型的主要测试指标。整体结论是：在该数据集上，线性模型已经具备很强的分类能力；浅层和深层 MLP 在保持高性能的同时提供了非线性建模能力；一维卷积网络可用于探索特征局部组合，但对表格数据的优势并不明显。</w:t>
      </w:r>
    </w:p>
    <w:p>
      <w:pPr>
        <w:pStyle w:val="Heading1"/>
        <w:keepNext/>
      </w:pPr>
      <w:r>
        <w:t>6 结论、不足与改进方向</w:t>
      </w:r>
    </w:p>
    <w:p>
      <w:pPr>
        <w:spacing w:before="0" w:after="120" w:line="264" w:lineRule="auto"/>
        <w:jc w:val="left"/>
      </w:pPr>
      <w:r>
        <w:rPr>
          <w:rFonts w:ascii="Calibri" w:hAnsi="Calibri" w:eastAsia="微软雅黑"/>
        </w:rPr>
        <w:t>本项目完成了基于 PyTorch 的乳腺癌良恶性分类实验。完整流程包括数据清洗、分层划分、标准化、四种神经网络模型训练、手写评价指标计算、可视化分析、模型权重保存和单样本预测程序。实验结果显示，LinearClassifier、ShallowMLP 和 DeepMLP 在当前测试集上取得相同的分类指标，DeepMLP 的测试损失最低；FeatureCNN1D 表现略低，但仍具有较高 ROC-AUC。</w:t>
      </w:r>
    </w:p>
    <w:p>
      <w:pPr>
        <w:spacing w:before="0" w:after="120" w:line="264" w:lineRule="auto"/>
        <w:jc w:val="left"/>
      </w:pPr>
      <w:r>
        <w:rPr>
          <w:rFonts w:ascii="Calibri" w:hAnsi="Calibri" w:eastAsia="微软雅黑"/>
        </w:rPr>
        <w:t>本实验的不足主要包括：数据集规模较小，单次训练/验证/测试划分可能带来偶然性；表格数据中特征顺序并不一定具有真实空间邻近关系，因此一维卷积网络的结构假设需要谨慎解释；本项目重点是课程实验和工程复现，不能直接用于医学诊断决策。后续可进一步加入多随机种子重复实验、交叉验证思想、特征重要性分析、阈值敏感性分析和更规范的模型校准评估。</w:t>
      </w:r>
    </w:p>
    <w:p>
      <w:pPr>
        <w:pStyle w:val="Heading1"/>
        <w:keepNext/>
      </w:pPr>
      <w:r>
        <w:t>参考资料</w:t>
      </w:r>
    </w:p>
    <w:p>
      <w:pPr>
        <w:spacing w:before="0" w:after="120" w:line="264" w:lineRule="auto"/>
        <w:jc w:val="left"/>
      </w:pPr>
      <w:r>
        <w:rPr>
          <w:rFonts w:ascii="Calibri" w:hAnsi="Calibri" w:eastAsia="微软雅黑"/>
        </w:rPr>
        <w:t>[1] Kaggle. Breast Cancer Wisconsin Dataset. https://www.kaggle.com/datasets/priyanka841/breast-cancer-wisconsin</w:t>
      </w:r>
    </w:p>
    <w:p>
      <w:pPr>
        <w:spacing w:before="0" w:after="120" w:line="264" w:lineRule="auto"/>
        <w:jc w:val="left"/>
      </w:pPr>
      <w:r>
        <w:rPr>
          <w:rFonts w:ascii="Calibri" w:hAnsi="Calibri" w:eastAsia="微软雅黑"/>
        </w:rPr>
        <w:t>[2] PyTorch Documentation. https://pytorch.org/docs/</w:t>
      </w:r>
    </w:p>
    <w:p>
      <w:pPr>
        <w:spacing w:before="0" w:after="120" w:line="264" w:lineRule="auto"/>
        <w:jc w:val="left"/>
      </w:pPr>
      <w:r>
        <w:rPr>
          <w:rFonts w:ascii="Calibri" w:hAnsi="Calibri" w:eastAsia="微软雅黑"/>
        </w:rPr>
        <w:t>[3] UCI Machine Learning Repository. Breast Cancer Wisconsin Diagnostic Dataset.</w:t>
      </w:r>
    </w:p>
    <w:p>
      <w:pPr>
        <w:pStyle w:val="Heading1"/>
        <w:keepNext/>
      </w:pPr>
      <w:r>
        <w:t>附录</w:t>
      </w:r>
    </w:p>
    <w:p>
      <w:pPr>
        <w:pStyle w:val="Heading2"/>
        <w:keepNext/>
      </w:pPr>
      <w:r>
        <w:t>附录 A 运行环境</w:t>
      </w:r>
    </w:p>
    <w:tbl>
      <w:tblPr>
        <w:tblStyle w:val="a3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操作系统</w:t>
            </w:r>
          </w:p>
        </w:tc>
        <w:tc>
          <w:tcPr>
            <w:tcW w:type="dxa" w:w="67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Python 环境</w:t>
            </w:r>
          </w:p>
        </w:tc>
        <w:tc>
          <w:tcPr>
            <w:tcW w:type="dxa" w:w="67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Anaconda 环境 geo3d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主要依赖</w:t>
            </w:r>
          </w:p>
        </w:tc>
        <w:tc>
          <w:tcPr>
            <w:tcW w:type="dxa" w:w="67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torch、pandas、numpy、matplotlib、seaborn、notebook、nbconvert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训练设备</w:t>
            </w:r>
          </w:p>
        </w:tc>
        <w:tc>
          <w:tcPr>
            <w:tcW w:type="dxa" w:w="67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CPU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运行入口</w:t>
            </w:r>
          </w:p>
        </w:tc>
        <w:tc>
          <w:tcPr>
            <w:tcW w:type="dxa" w:w="67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大作业代码/train_models.py</w:t>
            </w:r>
          </w:p>
        </w:tc>
      </w:tr>
    </w:tbl>
    <w:p>
      <w:pPr>
        <w:spacing w:before="0" w:after="80" w:line="264" w:lineRule="auto"/>
        <w:jc w:val="left"/>
      </w:pPr>
    </w:p>
    <w:p>
      <w:pPr>
        <w:pStyle w:val="Heading2"/>
        <w:keepNext/>
      </w:pPr>
      <w:r>
        <w:t>附录 B 提交材料检查</w:t>
      </w:r>
    </w:p>
    <w:tbl>
      <w:tblPr>
        <w:tblStyle w:val="a3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/>
                <w:color w:val="0B2545"/>
                <w:sz w:val="18"/>
              </w:rPr>
              <w:t>检查项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/>
                <w:color w:val="0B2545"/>
                <w:sz w:val="18"/>
              </w:rPr>
              <w:t>状态</w:t>
            </w:r>
          </w:p>
        </w:tc>
      </w:tr>
      <w:tr>
        <w:tc>
          <w:tcPr>
            <w:tcW w:type="dxa" w:w="3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完整训练数据</w:t>
            </w:r>
          </w:p>
        </w:tc>
        <w:tc>
          <w:tcPr>
            <w:tcW w:type="dxa" w:w="57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已包含</w:t>
            </w:r>
          </w:p>
        </w:tc>
      </w:tr>
      <w:tr>
        <w:tc>
          <w:tcPr>
            <w:tcW w:type="dxa" w:w="3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完整 Notebook 与输出</w:t>
            </w:r>
          </w:p>
        </w:tc>
        <w:tc>
          <w:tcPr>
            <w:tcW w:type="dxa" w:w="57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已包含</w:t>
            </w:r>
          </w:p>
        </w:tc>
      </w:tr>
      <w:tr>
        <w:tc>
          <w:tcPr>
            <w:tcW w:type="dxa" w:w="3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HTML 格式 Notebook</w:t>
            </w:r>
          </w:p>
        </w:tc>
        <w:tc>
          <w:tcPr>
            <w:tcW w:type="dxa" w:w="57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已导出</w:t>
            </w:r>
          </w:p>
        </w:tc>
      </w:tr>
      <w:tr>
        <w:tc>
          <w:tcPr>
            <w:tcW w:type="dxa" w:w="3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四个模型方法</w:t>
            </w:r>
          </w:p>
        </w:tc>
        <w:tc>
          <w:tcPr>
            <w:tcW w:type="dxa" w:w="57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已实现并比较</w:t>
            </w:r>
          </w:p>
        </w:tc>
      </w:tr>
      <w:tr>
        <w:tc>
          <w:tcPr>
            <w:tcW w:type="dxa" w:w="3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结果图与指标表</w:t>
            </w:r>
          </w:p>
        </w:tc>
        <w:tc>
          <w:tcPr>
            <w:tcW w:type="dxa" w:w="57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已保存</w:t>
            </w:r>
          </w:p>
        </w:tc>
      </w:tr>
      <w:tr>
        <w:tc>
          <w:tcPr>
            <w:tcW w:type="dxa" w:w="3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GitHub 仓库链接</w:t>
            </w:r>
          </w:p>
        </w:tc>
        <w:tc>
          <w:tcPr>
            <w:tcW w:type="dxa" w:w="57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已写入报告</w:t>
            </w:r>
          </w:p>
        </w:tc>
      </w:tr>
      <w:tr>
        <w:tc>
          <w:tcPr>
            <w:tcW w:type="dxa" w:w="3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成员与工作量信息</w:t>
            </w:r>
          </w:p>
        </w:tc>
        <w:tc>
          <w:tcPr>
            <w:tcW w:type="dxa" w:w="57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微软雅黑"/>
                <w:b w:val="0"/>
                <w:color w:val="000000"/>
                <w:sz w:val="18"/>
              </w:rPr>
              <w:t>保留占位，提交前可补充</w:t>
            </w:r>
          </w:p>
        </w:tc>
      </w:tr>
    </w:tbl>
    <w:p>
      <w:pPr>
        <w:spacing w:before="0" w:after="80" w:line="264" w:lineRule="auto"/>
        <w:jc w:val="left"/>
      </w:pPr>
    </w:p>
    <w:sectPr w:rsidR="006D2AC8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263E4" w14:textId="77777777" w:rsidR="006D2AC8" w:rsidRDefault="006D2AC8" w:rsidP="00A34CCC">
      <w:r>
        <w:separator/>
      </w:r>
    </w:p>
  </w:endnote>
  <w:endnote w:type="continuationSeparator" w:id="0">
    <w:p w14:paraId="48E34DF8" w14:textId="77777777" w:rsidR="006D2AC8" w:rsidRDefault="006D2AC8" w:rsidP="00A34C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微软雅黑"/>
        <w:color w:val="666666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Calibri" w:hAnsi="Calibri" w:eastAsia="微软雅黑"/>
        <w:color w:val="666666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A6C2A" w14:textId="77777777" w:rsidR="006D2AC8" w:rsidRDefault="006D2AC8" w:rsidP="00A34CCC">
      <w:r>
        <w:separator/>
      </w:r>
    </w:p>
  </w:footnote>
  <w:footnote w:type="continuationSeparator" w:id="0">
    <w:p w14:paraId="171521FE" w14:textId="77777777" w:rsidR="006D2AC8" w:rsidRDefault="006D2AC8" w:rsidP="00A34CCC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微软雅黑"/>
        <w:b/>
        <w:color w:val="666666"/>
        <w:sz w:val="18"/>
      </w:rPr>
      <w:t>机器学习大作业</w:t>
    </w:r>
    <w:r>
      <w:rPr>
        <w:rFonts w:ascii="Calibri" w:hAnsi="Calibri" w:eastAsia="微软雅黑"/>
        <w:color w:val="666666"/>
        <w:sz w:val="18"/>
      </w:rPr>
      <w:t xml:space="preserve">  |  基于 PyTorch 的乳腺癌良恶性分类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OTg4MjlkMGYwNzA1NWVjOTEyZGM2YzM0MDhhMjg5NDIifQ=="/>
  </w:docVars>
  <w:rsids>
    <w:rsidRoot w:val="00A34CCC"/>
    <w:rsid w:val="006D2AC8"/>
    <w:rsid w:val="00A34CCC"/>
    <w:rsid w:val="0109370E"/>
    <w:rsid w:val="0BB925BB"/>
    <w:rsid w:val="0E5600D6"/>
    <w:rsid w:val="194779F8"/>
    <w:rsid w:val="1B895A30"/>
    <w:rsid w:val="2DCC4AA2"/>
    <w:rsid w:val="3C344617"/>
    <w:rsid w:val="43061948"/>
    <w:rsid w:val="478B01DC"/>
    <w:rsid w:val="4E69034A"/>
    <w:rsid w:val="58EC6656"/>
    <w:rsid w:val="5EBB2A00"/>
    <w:rsid w:val="63820F10"/>
    <w:rsid w:val="68D5723F"/>
    <w:rsid w:val="695F6CE0"/>
    <w:rsid w:val="6E8478B6"/>
    <w:rsid w:val="79076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."/>
  <w:listSeparator w:val=","/>
  <w14:docId w14:val="50D31007"/>
  <w15:chartTrackingRefBased/>
  <w15:docId w15:val="{16355C82-55CC-4BDF-B89F-6D5C5F123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uiPriority="39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before="0" w:after="120" w:line="264" w:lineRule="auto"/>
      <w:jc w:val="both"/>
    </w:pPr>
    <w:rPr>
      <w:rFonts w:ascii="Calibri" w:hAnsi="Calibri" w:eastAsia="微软雅黑"/>
      <w:kern w:val="2"/>
      <w:sz w:val="22"/>
      <w:szCs w:val="24"/>
    </w:rPr>
  </w:style>
  <w:style w:type="character" w:default="1" w:styleId="a0">
    <w:name w:val="Default Paragraph Font"/>
    <w:semiHidden/>
    <w:qFormat/>
  </w:style>
  <w:style w:type="table" w:default="1" w:styleId="a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A34CC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A34CCC"/>
    <w:rPr>
      <w:kern w:val="2"/>
      <w:sz w:val="18"/>
      <w:szCs w:val="18"/>
    </w:rPr>
  </w:style>
  <w:style w:type="paragraph" w:styleId="a6">
    <w:name w:val="footer"/>
    <w:basedOn w:val="a"/>
    <w:link w:val="a7"/>
    <w:rsid w:val="00A34C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A34CCC"/>
    <w:rPr>
      <w:kern w:val="2"/>
      <w:sz w:val="18"/>
      <w:szCs w:val="18"/>
    </w:rPr>
  </w:style>
  <w:style w:type="paragraph" w:customStyle="1" w:styleId="Heading1">
    <w:name w:val="heading 1"/>
    <w:pPr>
      <w:keepNext/>
      <w:spacing w:before="320" w:after="160" w:line="264" w:lineRule="auto"/>
    </w:pPr>
    <w:rPr>
      <w:rFonts w:ascii="Calibri" w:hAnsi="Calibri" w:eastAsia="微软雅黑"/>
      <w:b/>
      <w:color w:val="2E74B5"/>
      <w:sz w:val="32"/>
    </w:rPr>
  </w:style>
  <w:style w:type="paragraph" w:customStyle="1" w:styleId="Heading2">
    <w:name w:val="heading 2"/>
    <w:pPr>
      <w:keepNext/>
      <w:spacing w:before="240" w:after="120" w:line="264" w:lineRule="auto"/>
    </w:pPr>
    <w:rPr>
      <w:rFonts w:ascii="Calibri" w:hAnsi="Calibri" w:eastAsia="微软雅黑"/>
      <w:b/>
      <w:color w:val="2E74B5"/>
      <w:sz w:val="26"/>
    </w:rPr>
  </w:style>
  <w:style w:type="paragraph" w:customStyle="1" w:styleId="Heading3">
    <w:name w:val="heading 3"/>
    <w:pPr>
      <w:keepNext/>
      <w:spacing w:before="160" w:after="80" w:line="264" w:lineRule="auto"/>
    </w:pPr>
    <w:rPr>
      <w:rFonts w:ascii="Calibri" w:hAnsi="Calibri" w:eastAsia="微软雅黑"/>
      <w:b/>
      <w:color w:val="1F4D78"/>
      <w:sz w:val="24"/>
    </w:rPr>
  </w:style>
  <w:style w:type="paragraph" w:customStyle="1" w:styleId="Caption">
    <w:name w:val="caption"/>
    <w:pPr>
      <w:spacing w:before="40" w:after="160"/>
      <w:jc w:val="center"/>
    </w:pPr>
    <w:rPr>
      <w:rFonts w:ascii="Calibri" w:hAnsi="Calibri" w:eastAsia="微软雅黑"/>
      <w:color w:val="666666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68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165</Words>
  <Characters>942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 PyTorch 的乳腺癌良恶性分类系统设计与实现</dc:title>
  <dc:subject>机器学习大作业完整报告</dc:subject>
  <dc:creator>__________</dc:creator>
  <cp:keywords/>
  <cp:lastModifiedBy>Zhou Jay</cp:lastModifiedBy>
  <cp:revision>2</cp:revision>
  <dcterms:created xsi:type="dcterms:W3CDTF">2026-06-09T08:22:00Z</dcterms:created>
  <dcterms:modified xsi:type="dcterms:W3CDTF">2026-06-09T08:22:00Z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B2A81FFBF6EF4BC4A2B49E0EE7CF47BC</vt:lpwstr>
  </property>
  <property fmtid="{D5CDD505-2E9C-101B-9397-08002B2CF9AE}" pid="4" name="commondata">
    <vt:lpwstr>eyJoZGlkIjoiMTFkZWRlZTJkNGE1MjQ3NjAyZjkyMGFmMmY2MmE0ZjcifQ==</vt:lpwstr>
  </property>
  <property fmtid="{D5CDD505-2E9C-101B-9397-08002B2CF9AE}" pid="5" name="KSOTemplateDocerSaveRecord">
    <vt:lpwstr>eyJoZGlkIjoiZDEzNzUyYmY3ODZlMDk5NWM2OGVjMTRmYTk5YjE0YjYiLCJ1c2VySWQiOiIxNzU2NTAyMDI0In0=</vt:lpwstr>
  </property>
</Properties>
</file>