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B85DF" w14:textId="0AED89BE" w:rsidR="00AE5429" w:rsidRPr="008F730C" w:rsidRDefault="008F730C" w:rsidP="008F730C">
      <w:pPr>
        <w:pStyle w:val="papertitle"/>
        <w:spacing w:before="100" w:beforeAutospacing="1" w:after="100" w:afterAutospacing="1"/>
      </w:pPr>
      <w:bookmarkStart w:id="0" w:name="_Hlk149650572"/>
      <w:r w:rsidRPr="00765BFE">
        <w:rPr>
          <w:i/>
          <w:iCs/>
        </w:rPr>
        <w:t>Enhancing Investment Decisions: Technical Indicator-Driven Stock Price Predictions</w:t>
      </w:r>
      <w:bookmarkEnd w:id="0"/>
    </w:p>
    <w:p w14:paraId="31CB842B" w14:textId="77777777" w:rsidR="00AE5429" w:rsidRDefault="00AE5429">
      <w:pPr>
        <w:rPr>
          <w:sz w:val="26"/>
        </w:rPr>
        <w:sectPr w:rsidR="00AE5429">
          <w:type w:val="continuous"/>
          <w:pgSz w:w="11910" w:h="16840"/>
          <w:pgMar w:top="560" w:right="800" w:bottom="280" w:left="800" w:header="720" w:footer="720" w:gutter="0"/>
          <w:cols w:space="720"/>
        </w:sectPr>
      </w:pPr>
    </w:p>
    <w:p w14:paraId="279D0115" w14:textId="484A6996" w:rsidR="004D24FD" w:rsidRDefault="004D24FD">
      <w:pPr>
        <w:spacing w:before="93"/>
        <w:ind w:left="786" w:right="561"/>
        <w:jc w:val="center"/>
        <w:rPr>
          <w:sz w:val="18"/>
        </w:rPr>
      </w:pPr>
      <w:r>
        <w:rPr>
          <w:spacing w:val="-1"/>
          <w:sz w:val="18"/>
        </w:rPr>
        <w:t>Pranav Bhavsar</w:t>
      </w:r>
    </w:p>
    <w:p w14:paraId="679A3C63" w14:textId="0F3CB94A" w:rsidR="00AE5429" w:rsidRDefault="008442F1">
      <w:pPr>
        <w:spacing w:before="93"/>
        <w:ind w:left="786" w:right="561"/>
        <w:jc w:val="center"/>
        <w:rPr>
          <w:sz w:val="18"/>
        </w:rPr>
      </w:pPr>
      <w:r>
        <w:rPr>
          <w:spacing w:val="-42"/>
          <w:sz w:val="18"/>
        </w:rPr>
        <w:t xml:space="preserve"> </w:t>
      </w:r>
      <w:r>
        <w:rPr>
          <w:sz w:val="18"/>
        </w:rPr>
        <w:t>TEIT/A</w:t>
      </w:r>
    </w:p>
    <w:p w14:paraId="7432264B" w14:textId="77777777" w:rsidR="004D24FD" w:rsidRDefault="008442F1">
      <w:pPr>
        <w:spacing w:before="140"/>
        <w:ind w:left="263" w:right="38"/>
        <w:jc w:val="center"/>
        <w:rPr>
          <w:sz w:val="18"/>
        </w:rPr>
      </w:pPr>
      <w:r>
        <w:rPr>
          <w:sz w:val="18"/>
        </w:rPr>
        <w:t>Thakur</w:t>
      </w:r>
      <w:r>
        <w:rPr>
          <w:spacing w:val="-6"/>
          <w:sz w:val="18"/>
        </w:rPr>
        <w:t xml:space="preserve"> </w:t>
      </w:r>
      <w:r>
        <w:rPr>
          <w:sz w:val="18"/>
        </w:rPr>
        <w:t>College</w:t>
      </w:r>
      <w:r>
        <w:rPr>
          <w:spacing w:val="-4"/>
          <w:sz w:val="18"/>
        </w:rPr>
        <w:t xml:space="preserve"> </w:t>
      </w:r>
      <w:r>
        <w:rPr>
          <w:sz w:val="18"/>
        </w:rPr>
        <w:t>of</w:t>
      </w:r>
      <w:r>
        <w:rPr>
          <w:spacing w:val="-6"/>
          <w:sz w:val="18"/>
        </w:rPr>
        <w:t xml:space="preserve"> </w:t>
      </w:r>
      <w:r>
        <w:rPr>
          <w:sz w:val="18"/>
        </w:rPr>
        <w:t>Engineering</w:t>
      </w:r>
      <w:r>
        <w:rPr>
          <w:spacing w:val="-2"/>
          <w:sz w:val="18"/>
        </w:rPr>
        <w:t xml:space="preserve"> </w:t>
      </w:r>
      <w:r>
        <w:rPr>
          <w:sz w:val="18"/>
        </w:rPr>
        <w:t>and</w:t>
      </w:r>
    </w:p>
    <w:p w14:paraId="230B88D8" w14:textId="586D4D0F" w:rsidR="00AE5429" w:rsidRDefault="008442F1">
      <w:pPr>
        <w:spacing w:before="140"/>
        <w:ind w:left="263" w:right="38"/>
        <w:jc w:val="center"/>
        <w:rPr>
          <w:sz w:val="18"/>
        </w:rPr>
      </w:pPr>
      <w:r>
        <w:rPr>
          <w:spacing w:val="-42"/>
          <w:sz w:val="18"/>
        </w:rPr>
        <w:t xml:space="preserve"> </w:t>
      </w:r>
      <w:r>
        <w:rPr>
          <w:sz w:val="18"/>
        </w:rPr>
        <w:t>Technology,</w:t>
      </w:r>
      <w:r>
        <w:rPr>
          <w:spacing w:val="-2"/>
          <w:sz w:val="18"/>
        </w:rPr>
        <w:t xml:space="preserve"> </w:t>
      </w:r>
      <w:r>
        <w:rPr>
          <w:sz w:val="18"/>
        </w:rPr>
        <w:t>Mumbai</w:t>
      </w:r>
    </w:p>
    <w:p w14:paraId="234BFBDC" w14:textId="77777777" w:rsidR="004D24FD" w:rsidRDefault="008442F1">
      <w:pPr>
        <w:spacing w:before="140"/>
        <w:ind w:left="549" w:right="317" w:hanging="6"/>
        <w:jc w:val="center"/>
        <w:rPr>
          <w:spacing w:val="1"/>
          <w:sz w:val="18"/>
        </w:rPr>
      </w:pPr>
      <w:r>
        <w:rPr>
          <w:sz w:val="18"/>
        </w:rPr>
        <w:t>Mumbai, India</w:t>
      </w:r>
      <w:r>
        <w:rPr>
          <w:spacing w:val="1"/>
          <w:sz w:val="18"/>
        </w:rPr>
        <w:t xml:space="preserve"> </w:t>
      </w:r>
    </w:p>
    <w:p w14:paraId="0C8D8902" w14:textId="150EA9FD" w:rsidR="00AE5429" w:rsidRDefault="004D24FD">
      <w:pPr>
        <w:spacing w:before="140"/>
        <w:ind w:left="549" w:right="317" w:hanging="6"/>
        <w:jc w:val="center"/>
        <w:rPr>
          <w:sz w:val="18"/>
        </w:rPr>
      </w:pPr>
      <w:r>
        <w:rPr>
          <w:sz w:val="18"/>
        </w:rPr>
        <w:t>Pranavbhavsr2003@gmail.com</w:t>
      </w:r>
    </w:p>
    <w:p w14:paraId="12977B99" w14:textId="51FC6392" w:rsidR="004D24FD" w:rsidRDefault="008442F1">
      <w:pPr>
        <w:spacing w:before="93"/>
        <w:ind w:left="791" w:right="561"/>
        <w:jc w:val="center"/>
        <w:rPr>
          <w:sz w:val="18"/>
        </w:rPr>
      </w:pPr>
      <w:r>
        <w:br w:type="column"/>
      </w:r>
      <w:r w:rsidR="004D24FD">
        <w:rPr>
          <w:spacing w:val="-1"/>
          <w:sz w:val="18"/>
        </w:rPr>
        <w:t>Bharat Bohra</w:t>
      </w:r>
    </w:p>
    <w:p w14:paraId="2CCDD098" w14:textId="4D3F5B1E" w:rsidR="00AE5429" w:rsidRDefault="008442F1">
      <w:pPr>
        <w:spacing w:before="93"/>
        <w:ind w:left="791" w:right="561"/>
        <w:jc w:val="center"/>
        <w:rPr>
          <w:sz w:val="18"/>
        </w:rPr>
      </w:pPr>
      <w:r>
        <w:rPr>
          <w:spacing w:val="-42"/>
          <w:sz w:val="18"/>
        </w:rPr>
        <w:t xml:space="preserve"> </w:t>
      </w:r>
      <w:r>
        <w:rPr>
          <w:sz w:val="18"/>
        </w:rPr>
        <w:t>TEIT/A</w:t>
      </w:r>
    </w:p>
    <w:p w14:paraId="652109ED" w14:textId="77777777" w:rsidR="004D24FD" w:rsidRDefault="008442F1">
      <w:pPr>
        <w:spacing w:before="140"/>
        <w:ind w:left="263" w:right="38"/>
        <w:jc w:val="center"/>
        <w:rPr>
          <w:spacing w:val="-42"/>
          <w:sz w:val="18"/>
        </w:rPr>
      </w:pPr>
      <w:r>
        <w:rPr>
          <w:sz w:val="18"/>
        </w:rPr>
        <w:t>Thakur</w:t>
      </w:r>
      <w:r>
        <w:rPr>
          <w:spacing w:val="-6"/>
          <w:sz w:val="18"/>
        </w:rPr>
        <w:t xml:space="preserve"> </w:t>
      </w:r>
      <w:r>
        <w:rPr>
          <w:sz w:val="18"/>
        </w:rPr>
        <w:t>College</w:t>
      </w:r>
      <w:r>
        <w:rPr>
          <w:spacing w:val="-4"/>
          <w:sz w:val="18"/>
        </w:rPr>
        <w:t xml:space="preserve"> </w:t>
      </w:r>
      <w:r>
        <w:rPr>
          <w:sz w:val="18"/>
        </w:rPr>
        <w:t>of</w:t>
      </w:r>
      <w:r>
        <w:rPr>
          <w:spacing w:val="-6"/>
          <w:sz w:val="18"/>
        </w:rPr>
        <w:t xml:space="preserve"> </w:t>
      </w:r>
      <w:r>
        <w:rPr>
          <w:sz w:val="18"/>
        </w:rPr>
        <w:t>Engineering</w:t>
      </w:r>
      <w:r>
        <w:rPr>
          <w:spacing w:val="-2"/>
          <w:sz w:val="18"/>
        </w:rPr>
        <w:t xml:space="preserve"> </w:t>
      </w:r>
      <w:r>
        <w:rPr>
          <w:sz w:val="18"/>
        </w:rPr>
        <w:t>and</w:t>
      </w:r>
      <w:r>
        <w:rPr>
          <w:spacing w:val="-42"/>
          <w:sz w:val="18"/>
        </w:rPr>
        <w:t xml:space="preserve"> </w:t>
      </w:r>
    </w:p>
    <w:p w14:paraId="6EC819E7" w14:textId="5DDC3D1A" w:rsidR="00AE5429" w:rsidRDefault="008442F1">
      <w:pPr>
        <w:spacing w:before="140"/>
        <w:ind w:left="263" w:right="38"/>
        <w:jc w:val="center"/>
        <w:rPr>
          <w:sz w:val="18"/>
        </w:rPr>
      </w:pPr>
      <w:r>
        <w:rPr>
          <w:sz w:val="18"/>
        </w:rPr>
        <w:t>Technology,</w:t>
      </w:r>
      <w:r>
        <w:rPr>
          <w:spacing w:val="-1"/>
          <w:sz w:val="18"/>
        </w:rPr>
        <w:t xml:space="preserve"> </w:t>
      </w:r>
      <w:r>
        <w:rPr>
          <w:sz w:val="18"/>
        </w:rPr>
        <w:t>Mumbai</w:t>
      </w:r>
    </w:p>
    <w:p w14:paraId="2D1F8C19" w14:textId="77777777" w:rsidR="004D24FD" w:rsidRDefault="008442F1">
      <w:pPr>
        <w:spacing w:before="140"/>
        <w:ind w:left="337" w:right="110" w:hanging="3"/>
        <w:jc w:val="center"/>
        <w:rPr>
          <w:spacing w:val="1"/>
          <w:sz w:val="18"/>
        </w:rPr>
      </w:pPr>
      <w:r>
        <w:rPr>
          <w:sz w:val="18"/>
        </w:rPr>
        <w:t>Mumbai, India</w:t>
      </w:r>
      <w:r>
        <w:rPr>
          <w:spacing w:val="1"/>
          <w:sz w:val="18"/>
        </w:rPr>
        <w:t xml:space="preserve"> </w:t>
      </w:r>
    </w:p>
    <w:p w14:paraId="08BE231A" w14:textId="42EA6B42" w:rsidR="00141EAC" w:rsidRPr="00141EAC" w:rsidRDefault="008442F1">
      <w:pPr>
        <w:spacing w:before="140"/>
        <w:ind w:left="337" w:right="110" w:hanging="3"/>
        <w:jc w:val="center"/>
        <w:rPr>
          <w:sz w:val="18"/>
        </w:rPr>
        <w:sectPr w:rsidR="00141EAC" w:rsidRPr="00141EAC" w:rsidSect="004D24FD">
          <w:type w:val="continuous"/>
          <w:pgSz w:w="11910" w:h="16840"/>
          <w:pgMar w:top="560" w:right="800" w:bottom="280" w:left="800" w:header="720" w:footer="720" w:gutter="0"/>
          <w:cols w:num="2" w:space="762"/>
        </w:sectPr>
      </w:pPr>
      <w:hyperlink r:id="rId5" w:history="1">
        <w:r w:rsidR="004D24FD" w:rsidRPr="00141EAC">
          <w:rPr>
            <w:rStyle w:val="Hyperlink"/>
            <w:color w:val="auto"/>
            <w:sz w:val="18"/>
            <w:u w:val="none"/>
          </w:rPr>
          <w:t>bharatbohra07@gmail.com</w:t>
        </w:r>
      </w:hyperlink>
    </w:p>
    <w:p w14:paraId="0D96A616" w14:textId="77777777" w:rsidR="00AE5429" w:rsidRDefault="00AE5429">
      <w:pPr>
        <w:spacing w:before="140"/>
        <w:ind w:left="337" w:right="110" w:hanging="3"/>
        <w:jc w:val="center"/>
        <w:rPr>
          <w:sz w:val="18"/>
        </w:rPr>
      </w:pPr>
    </w:p>
    <w:p w14:paraId="37C7F201" w14:textId="376AB1BB" w:rsidR="00AE5429" w:rsidRDefault="00AE5429" w:rsidP="004D24FD">
      <w:pPr>
        <w:spacing w:before="93"/>
        <w:ind w:left="1031" w:right="1030"/>
        <w:jc w:val="center"/>
        <w:rPr>
          <w:sz w:val="18"/>
        </w:rPr>
        <w:sectPr w:rsidR="00AE5429">
          <w:type w:val="continuous"/>
          <w:pgSz w:w="11910" w:h="16840"/>
          <w:pgMar w:top="560" w:right="800" w:bottom="280" w:left="800" w:header="720" w:footer="720" w:gutter="0"/>
          <w:cols w:num="3" w:space="720" w:equalWidth="0">
            <w:col w:w="2851" w:space="762"/>
            <w:col w:w="2851" w:space="763"/>
            <w:col w:w="3083"/>
          </w:cols>
        </w:sectPr>
      </w:pPr>
    </w:p>
    <w:p w14:paraId="547A5E4E" w14:textId="77777777" w:rsidR="00AE5429" w:rsidRDefault="00AE5429">
      <w:pPr>
        <w:rPr>
          <w:sz w:val="14"/>
        </w:rPr>
        <w:sectPr w:rsidR="00AE5429">
          <w:type w:val="continuous"/>
          <w:pgSz w:w="11910" w:h="16840"/>
          <w:pgMar w:top="560" w:right="800" w:bottom="280" w:left="800" w:header="720" w:footer="720" w:gutter="0"/>
          <w:cols w:space="720"/>
        </w:sectPr>
      </w:pPr>
    </w:p>
    <w:p w14:paraId="3FDF8233" w14:textId="3084C1C5" w:rsidR="004D24FD" w:rsidRPr="004D24FD" w:rsidRDefault="004D24FD" w:rsidP="004D24FD">
      <w:pPr>
        <w:spacing w:before="100"/>
        <w:ind w:right="41"/>
        <w:jc w:val="both"/>
        <w:rPr>
          <w:b/>
          <w:sz w:val="18"/>
        </w:rPr>
      </w:pPr>
      <w:r w:rsidRPr="004D24FD">
        <w:rPr>
          <w:b/>
          <w:sz w:val="18"/>
        </w:rPr>
        <w:t>Abstract— This paper explores the effectiveness of utilizing technical indicators in making investment decisions for stock markets. Technical indicators are widely used tools in the field of financial analysis to predict future stock price movements. The study delves into various technical indicators, their methodologies, and historical performance. It also discusses their application in real-world investment scenarios and their impact on decision-making</w:t>
      </w:r>
      <w:r>
        <w:rPr>
          <w:b/>
          <w:sz w:val="18"/>
        </w:rPr>
        <w:t>.</w:t>
      </w:r>
    </w:p>
    <w:p w14:paraId="7C92C0E8" w14:textId="77777777" w:rsidR="004D24FD" w:rsidRPr="004D24FD" w:rsidRDefault="004D24FD" w:rsidP="004D24FD">
      <w:pPr>
        <w:spacing w:before="100"/>
        <w:ind w:left="107" w:right="41" w:firstLine="271"/>
        <w:jc w:val="both"/>
        <w:rPr>
          <w:b/>
          <w:sz w:val="18"/>
        </w:rPr>
      </w:pPr>
      <w:r w:rsidRPr="004D24FD">
        <w:rPr>
          <w:b/>
          <w:sz w:val="18"/>
        </w:rPr>
        <w:t>The research includes a comprehensive analysis of technical indicator-driven stock price predictions, aiming to provide investors with valuable insights into their utility and limitations. Through empirical data and case studies, this paper evaluates the accuracy and reliability of technical indicators and their potential impact on investment strategies.</w:t>
      </w:r>
    </w:p>
    <w:p w14:paraId="24FF7114" w14:textId="77777777" w:rsidR="004D24FD" w:rsidRPr="004D24FD" w:rsidRDefault="004D24FD" w:rsidP="004D24FD">
      <w:pPr>
        <w:spacing w:before="100"/>
        <w:ind w:left="107" w:right="41" w:firstLine="271"/>
        <w:jc w:val="both"/>
        <w:rPr>
          <w:b/>
          <w:sz w:val="18"/>
        </w:rPr>
      </w:pPr>
    </w:p>
    <w:p w14:paraId="7DDC3CB2" w14:textId="76A1DC36" w:rsidR="00AE5429" w:rsidRDefault="004D24FD" w:rsidP="004D24FD">
      <w:pPr>
        <w:spacing w:before="100"/>
        <w:ind w:left="107" w:right="41" w:firstLine="271"/>
        <w:jc w:val="both"/>
        <w:rPr>
          <w:b/>
          <w:sz w:val="18"/>
        </w:rPr>
      </w:pPr>
      <w:r w:rsidRPr="004D24FD">
        <w:rPr>
          <w:b/>
          <w:sz w:val="18"/>
        </w:rPr>
        <w:t>Keywords— Investment Decisions, Technical Indicators, Stock Price Predictions, Financial Analysis, Investment Strategies, Empirical Data, Decision-Making, Investment Scenarios, Performance Analysis.</w:t>
      </w:r>
    </w:p>
    <w:p w14:paraId="06B8F6B7" w14:textId="77777777" w:rsidR="00FB3777" w:rsidRDefault="00FB3777" w:rsidP="004D24FD">
      <w:pPr>
        <w:spacing w:before="100"/>
        <w:ind w:left="107" w:right="41" w:firstLine="271"/>
        <w:jc w:val="both"/>
        <w:rPr>
          <w:b/>
          <w:i/>
          <w:sz w:val="24"/>
        </w:rPr>
      </w:pPr>
    </w:p>
    <w:p w14:paraId="44FB8EEF" w14:textId="26A63B08" w:rsidR="00141EAC" w:rsidRPr="00141EAC" w:rsidRDefault="008442F1" w:rsidP="00141EAC">
      <w:pPr>
        <w:pStyle w:val="ListParagraph"/>
        <w:numPr>
          <w:ilvl w:val="0"/>
          <w:numId w:val="3"/>
        </w:numPr>
        <w:tabs>
          <w:tab w:val="left" w:pos="2038"/>
        </w:tabs>
        <w:spacing w:before="1"/>
        <w:ind w:hanging="275"/>
        <w:jc w:val="center"/>
        <w:rPr>
          <w:sz w:val="16"/>
        </w:rPr>
      </w:pPr>
      <w:r>
        <w:rPr>
          <w:sz w:val="20"/>
        </w:rPr>
        <w:t>I</w:t>
      </w:r>
      <w:r>
        <w:rPr>
          <w:sz w:val="16"/>
        </w:rPr>
        <w:t>NTRODUCTION</w:t>
      </w:r>
    </w:p>
    <w:p w14:paraId="01A7423E" w14:textId="77777777" w:rsidR="00141EAC" w:rsidRDefault="00141EAC" w:rsidP="00141EAC">
      <w:pPr>
        <w:pStyle w:val="BodyText"/>
        <w:spacing w:before="79" w:line="228" w:lineRule="auto"/>
        <w:ind w:right="38" w:firstLine="288"/>
      </w:pPr>
      <w:r>
        <w:t>This exploration delves into the effectiveness of utilizing a wide spectrum of technical indicators for informed investment decisions in stock markets. These indicators, ranging from the Accumulation/Distribution Line (ADLINE) to the Williams %R, are pivotal tools in financial analysis, offering predictive insights into stock price movements. Each indicator’s methodology, historical performance, and practical application in investment scenarios are meticulously examined.</w:t>
      </w:r>
    </w:p>
    <w:p w14:paraId="08A4F42E" w14:textId="77777777" w:rsidR="00141EAC" w:rsidRDefault="00141EAC" w:rsidP="00141EAC">
      <w:pPr>
        <w:pStyle w:val="BodyText"/>
        <w:spacing w:before="79" w:line="228" w:lineRule="auto"/>
        <w:ind w:right="38" w:firstLine="288"/>
      </w:pPr>
    </w:p>
    <w:p w14:paraId="3B385045" w14:textId="77777777" w:rsidR="00141EAC" w:rsidRDefault="00141EAC" w:rsidP="00141EAC">
      <w:pPr>
        <w:pStyle w:val="BodyText"/>
        <w:spacing w:before="79" w:line="228" w:lineRule="auto"/>
        <w:ind w:right="38" w:firstLine="288"/>
      </w:pPr>
      <w:r>
        <w:t>The analysis critically evaluates the accuracy and reliability of these indicators by employing empirical data and case studies. However, it's essential to acknowledge the limitations of technical indicators, which can be influenced by market conditions and unforeseen events. Despite their value, these indicators should be part of a holistic investment strategy that incorporates broader market dynamics for informed decision-making.</w:t>
      </w:r>
    </w:p>
    <w:p w14:paraId="7A6C37F3" w14:textId="77777777" w:rsidR="00141EAC" w:rsidRDefault="00141EAC" w:rsidP="00141EAC">
      <w:pPr>
        <w:pStyle w:val="BodyText"/>
        <w:spacing w:before="79" w:line="228" w:lineRule="auto"/>
        <w:ind w:right="38" w:firstLine="288"/>
      </w:pPr>
    </w:p>
    <w:p w14:paraId="435EC14B" w14:textId="24AB555F" w:rsidR="00141EAC" w:rsidRDefault="00141EAC" w:rsidP="00141EAC">
      <w:pPr>
        <w:pStyle w:val="BodyText"/>
        <w:spacing w:before="79" w:line="228" w:lineRule="auto"/>
        <w:ind w:right="38" w:firstLine="288"/>
      </w:pPr>
      <w:r>
        <w:t>The research aims to empower investors by offering a comprehensive understanding of these technical tools, aiding in data-driven decisions and potentially improving overall portfolio performance. Despite their significance, a cautious approach that considers various market factors is crucial for robust investment strategies</w:t>
      </w:r>
      <w:proofErr w:type="gramStart"/>
      <w:r>
        <w:t>..</w:t>
      </w:r>
      <w:proofErr w:type="gramEnd"/>
    </w:p>
    <w:p w14:paraId="3C541D1D" w14:textId="77777777" w:rsidR="00AE5429" w:rsidRDefault="00AE5429">
      <w:pPr>
        <w:pStyle w:val="BodyText"/>
        <w:spacing w:before="6"/>
        <w:ind w:left="0"/>
        <w:jc w:val="left"/>
        <w:rPr>
          <w:sz w:val="24"/>
        </w:rPr>
      </w:pPr>
    </w:p>
    <w:p w14:paraId="7344746E" w14:textId="28BB8CFA" w:rsidR="0036181F" w:rsidRPr="001014A2" w:rsidRDefault="008442F1" w:rsidP="0036181F">
      <w:pPr>
        <w:pStyle w:val="ListParagraph"/>
        <w:numPr>
          <w:ilvl w:val="0"/>
          <w:numId w:val="3"/>
        </w:numPr>
        <w:tabs>
          <w:tab w:val="left" w:pos="1987"/>
        </w:tabs>
        <w:spacing w:before="1"/>
        <w:ind w:left="1986" w:hanging="308"/>
        <w:jc w:val="left"/>
        <w:rPr>
          <w:sz w:val="16"/>
        </w:rPr>
      </w:pPr>
      <w:r>
        <w:rPr>
          <w:sz w:val="20"/>
        </w:rPr>
        <w:t>R</w:t>
      </w:r>
      <w:r>
        <w:rPr>
          <w:sz w:val="16"/>
        </w:rPr>
        <w:t>ELATED</w:t>
      </w:r>
      <w:r>
        <w:rPr>
          <w:spacing w:val="-1"/>
          <w:sz w:val="16"/>
        </w:rPr>
        <w:t xml:space="preserve"> </w:t>
      </w:r>
      <w:r>
        <w:rPr>
          <w:sz w:val="20"/>
        </w:rPr>
        <w:t>W</w:t>
      </w:r>
      <w:r>
        <w:rPr>
          <w:sz w:val="16"/>
        </w:rPr>
        <w:t>ORK</w:t>
      </w:r>
    </w:p>
    <w:p w14:paraId="6FF1E9A0" w14:textId="06579457" w:rsidR="00C550F6" w:rsidRDefault="00C550F6" w:rsidP="00C550F6">
      <w:pPr>
        <w:pStyle w:val="BodyText"/>
        <w:spacing w:before="79" w:line="228" w:lineRule="auto"/>
        <w:ind w:right="41" w:firstLine="288"/>
      </w:pPr>
      <w:r w:rsidRPr="00C550F6">
        <w:t xml:space="preserve">The realm of financial markets and investment decision-making has witnessed significant interest and research, with </w:t>
      </w:r>
      <w:r w:rsidRPr="00C550F6">
        <w:t>a focus on leveraging technical indicators for stock price predictions. Prior studies have delved into the application of various technical indicators, such as moving averages, relative strength index (RSI), and Bollinger Bands, to forecast stock price movements. Moreover, research in this area has emphasized the</w:t>
      </w:r>
      <w:bookmarkStart w:id="1" w:name="_GoBack"/>
      <w:bookmarkEnd w:id="1"/>
      <w:r w:rsidRPr="00C550F6">
        <w:t xml:space="preserve"> role of algorithmic trading strategies, incorporating these technical indicators, and their impact on investment portfolios. Furthermore, the effectiveness of machine learning algorithms in processing vast amounts of financial data to improve stock price predictions has also been a key subject of investigation. Consequently, the literature offers a comprehensive understanding of the approaches and tools utilized in enhancing investment decisions through technical indicator-driven stock price predictions.</w:t>
      </w:r>
    </w:p>
    <w:p w14:paraId="678CCCB2" w14:textId="4891E528" w:rsidR="001014A2" w:rsidRDefault="00C550F6" w:rsidP="001014A2">
      <w:pPr>
        <w:pStyle w:val="BodyText"/>
        <w:spacing w:before="79" w:line="228" w:lineRule="auto"/>
        <w:ind w:right="41" w:firstLine="288"/>
      </w:pPr>
      <w:proofErr w:type="spellStart"/>
      <w:r>
        <w:t>A.Indicator</w:t>
      </w:r>
      <w:proofErr w:type="spellEnd"/>
      <w:r>
        <w:t xml:space="preserve"> Used </w:t>
      </w:r>
    </w:p>
    <w:p w14:paraId="329331EF" w14:textId="77777777" w:rsidR="00C550F6" w:rsidRPr="00C550F6" w:rsidRDefault="00C550F6" w:rsidP="00C550F6">
      <w:pPr>
        <w:pStyle w:val="BodyText"/>
        <w:spacing w:before="79" w:line="228" w:lineRule="auto"/>
        <w:ind w:right="41" w:firstLine="288"/>
        <w:rPr>
          <w:sz w:val="18"/>
          <w:szCs w:val="18"/>
        </w:rPr>
      </w:pPr>
      <w:r w:rsidRPr="00C550F6">
        <w:rPr>
          <w:sz w:val="18"/>
          <w:szCs w:val="18"/>
        </w:rPr>
        <w:t>Accumulation / Distribution Line (ADLINE)</w:t>
      </w:r>
    </w:p>
    <w:p w14:paraId="53EF5F16" w14:textId="77777777" w:rsidR="00C550F6" w:rsidRPr="00C550F6" w:rsidRDefault="00C550F6" w:rsidP="00C550F6">
      <w:pPr>
        <w:pStyle w:val="BodyText"/>
        <w:spacing w:before="79" w:line="228" w:lineRule="auto"/>
        <w:ind w:right="41" w:firstLine="288"/>
        <w:rPr>
          <w:sz w:val="18"/>
          <w:szCs w:val="18"/>
        </w:rPr>
      </w:pPr>
      <w:r w:rsidRPr="00C550F6">
        <w:rPr>
          <w:sz w:val="18"/>
          <w:szCs w:val="18"/>
        </w:rPr>
        <w:t>Average Directional Movement Index (ADX)</w:t>
      </w:r>
    </w:p>
    <w:p w14:paraId="211FB0DA" w14:textId="77777777" w:rsidR="00C550F6" w:rsidRPr="00C550F6" w:rsidRDefault="00C550F6" w:rsidP="00C550F6">
      <w:pPr>
        <w:pStyle w:val="BodyText"/>
        <w:spacing w:before="79" w:line="228" w:lineRule="auto"/>
        <w:ind w:right="41" w:firstLine="288"/>
        <w:rPr>
          <w:sz w:val="18"/>
          <w:szCs w:val="18"/>
        </w:rPr>
      </w:pPr>
      <w:r w:rsidRPr="00C550F6">
        <w:rPr>
          <w:sz w:val="18"/>
          <w:szCs w:val="18"/>
        </w:rPr>
        <w:t>Average True Range (ATR)</w:t>
      </w:r>
    </w:p>
    <w:p w14:paraId="57D05736" w14:textId="77777777" w:rsidR="00C550F6" w:rsidRPr="00C550F6" w:rsidRDefault="00C550F6" w:rsidP="00C550F6">
      <w:pPr>
        <w:pStyle w:val="BodyText"/>
        <w:spacing w:before="79" w:line="228" w:lineRule="auto"/>
        <w:ind w:right="41" w:firstLine="288"/>
        <w:rPr>
          <w:sz w:val="18"/>
          <w:szCs w:val="18"/>
        </w:rPr>
      </w:pPr>
      <w:r w:rsidRPr="00C550F6">
        <w:rPr>
          <w:sz w:val="18"/>
          <w:szCs w:val="18"/>
        </w:rPr>
        <w:t>Chaikin Money Flow (CMF)</w:t>
      </w:r>
    </w:p>
    <w:p w14:paraId="6EAE9F69" w14:textId="77777777" w:rsidR="00C550F6" w:rsidRPr="00C550F6" w:rsidRDefault="00C550F6" w:rsidP="00C550F6">
      <w:pPr>
        <w:pStyle w:val="BodyText"/>
        <w:spacing w:before="79" w:line="228" w:lineRule="auto"/>
        <w:ind w:right="41" w:firstLine="288"/>
        <w:rPr>
          <w:sz w:val="18"/>
          <w:szCs w:val="18"/>
        </w:rPr>
      </w:pPr>
      <w:r w:rsidRPr="00C550F6">
        <w:rPr>
          <w:sz w:val="18"/>
          <w:szCs w:val="18"/>
        </w:rPr>
        <w:t>Commodity Channel Index (CCI)</w:t>
      </w:r>
    </w:p>
    <w:p w14:paraId="3C267575" w14:textId="77777777" w:rsidR="00C550F6" w:rsidRPr="00C550F6" w:rsidRDefault="00C550F6" w:rsidP="00C550F6">
      <w:pPr>
        <w:pStyle w:val="BodyText"/>
        <w:spacing w:before="79" w:line="228" w:lineRule="auto"/>
        <w:ind w:right="41" w:firstLine="288"/>
        <w:rPr>
          <w:sz w:val="18"/>
          <w:szCs w:val="18"/>
        </w:rPr>
      </w:pPr>
      <w:r w:rsidRPr="00C550F6">
        <w:rPr>
          <w:sz w:val="18"/>
          <w:szCs w:val="18"/>
        </w:rPr>
        <w:t>Directional Movement Index (DX)</w:t>
      </w:r>
    </w:p>
    <w:p w14:paraId="2A74DC27" w14:textId="77777777" w:rsidR="00C550F6" w:rsidRPr="00C550F6" w:rsidRDefault="00C550F6" w:rsidP="00C550F6">
      <w:pPr>
        <w:pStyle w:val="BodyText"/>
        <w:spacing w:before="79" w:line="228" w:lineRule="auto"/>
        <w:ind w:right="41" w:firstLine="288"/>
        <w:rPr>
          <w:sz w:val="18"/>
          <w:szCs w:val="18"/>
        </w:rPr>
      </w:pPr>
      <w:proofErr w:type="spellStart"/>
      <w:r w:rsidRPr="00C550F6">
        <w:rPr>
          <w:sz w:val="18"/>
          <w:szCs w:val="18"/>
        </w:rPr>
        <w:t>Donchian</w:t>
      </w:r>
      <w:proofErr w:type="spellEnd"/>
      <w:r w:rsidRPr="00C550F6">
        <w:rPr>
          <w:sz w:val="18"/>
          <w:szCs w:val="18"/>
        </w:rPr>
        <w:t xml:space="preserve"> Lower Band</w:t>
      </w:r>
    </w:p>
    <w:p w14:paraId="602E850E" w14:textId="77777777" w:rsidR="00C550F6" w:rsidRPr="00C550F6" w:rsidRDefault="00C550F6" w:rsidP="00C550F6">
      <w:pPr>
        <w:pStyle w:val="BodyText"/>
        <w:spacing w:before="79" w:line="228" w:lineRule="auto"/>
        <w:ind w:right="41" w:firstLine="288"/>
        <w:rPr>
          <w:sz w:val="18"/>
          <w:szCs w:val="18"/>
        </w:rPr>
      </w:pPr>
      <w:proofErr w:type="spellStart"/>
      <w:r w:rsidRPr="00C550F6">
        <w:rPr>
          <w:sz w:val="18"/>
          <w:szCs w:val="18"/>
        </w:rPr>
        <w:t>Donchian</w:t>
      </w:r>
      <w:proofErr w:type="spellEnd"/>
      <w:r w:rsidRPr="00C550F6">
        <w:rPr>
          <w:sz w:val="18"/>
          <w:szCs w:val="18"/>
        </w:rPr>
        <w:t xml:space="preserve"> Middle Band</w:t>
      </w:r>
    </w:p>
    <w:p w14:paraId="73B34F76" w14:textId="77777777" w:rsidR="00C550F6" w:rsidRPr="00C550F6" w:rsidRDefault="00C550F6" w:rsidP="00C550F6">
      <w:pPr>
        <w:pStyle w:val="BodyText"/>
        <w:spacing w:before="79" w:line="228" w:lineRule="auto"/>
        <w:ind w:right="41" w:firstLine="288"/>
        <w:rPr>
          <w:sz w:val="18"/>
          <w:szCs w:val="18"/>
        </w:rPr>
      </w:pPr>
      <w:proofErr w:type="spellStart"/>
      <w:r w:rsidRPr="00C550F6">
        <w:rPr>
          <w:sz w:val="18"/>
          <w:szCs w:val="18"/>
        </w:rPr>
        <w:t>Donchian</w:t>
      </w:r>
      <w:proofErr w:type="spellEnd"/>
      <w:r w:rsidRPr="00C550F6">
        <w:rPr>
          <w:sz w:val="18"/>
          <w:szCs w:val="18"/>
        </w:rPr>
        <w:t xml:space="preserve"> Upper Band</w:t>
      </w:r>
    </w:p>
    <w:p w14:paraId="40FC58DB" w14:textId="77777777" w:rsidR="00C550F6" w:rsidRPr="00C550F6" w:rsidRDefault="00C550F6" w:rsidP="00C550F6">
      <w:pPr>
        <w:pStyle w:val="BodyText"/>
        <w:spacing w:before="79" w:line="228" w:lineRule="auto"/>
        <w:ind w:right="41" w:firstLine="288"/>
        <w:rPr>
          <w:sz w:val="18"/>
          <w:szCs w:val="18"/>
        </w:rPr>
      </w:pPr>
      <w:r w:rsidRPr="00C550F6">
        <w:rPr>
          <w:sz w:val="18"/>
          <w:szCs w:val="18"/>
        </w:rPr>
        <w:t>Elder Force Index (EFI)</w:t>
      </w:r>
    </w:p>
    <w:p w14:paraId="2BE98E1F" w14:textId="77777777" w:rsidR="00C550F6" w:rsidRPr="00C550F6" w:rsidRDefault="00C550F6" w:rsidP="00C550F6">
      <w:pPr>
        <w:pStyle w:val="BodyText"/>
        <w:spacing w:before="79" w:line="228" w:lineRule="auto"/>
        <w:ind w:right="41" w:firstLine="288"/>
        <w:rPr>
          <w:sz w:val="18"/>
          <w:szCs w:val="18"/>
        </w:rPr>
      </w:pPr>
      <w:r w:rsidRPr="00C550F6">
        <w:rPr>
          <w:sz w:val="18"/>
          <w:szCs w:val="18"/>
        </w:rPr>
        <w:t>Elder-Ray Index Bear Power (ERBE)</w:t>
      </w:r>
    </w:p>
    <w:p w14:paraId="39FDF675" w14:textId="77777777" w:rsidR="00C550F6" w:rsidRPr="00C550F6" w:rsidRDefault="00C550F6" w:rsidP="00C550F6">
      <w:pPr>
        <w:pStyle w:val="BodyText"/>
        <w:spacing w:before="79" w:line="228" w:lineRule="auto"/>
        <w:ind w:right="41" w:firstLine="288"/>
        <w:rPr>
          <w:sz w:val="18"/>
          <w:szCs w:val="18"/>
        </w:rPr>
      </w:pPr>
      <w:r w:rsidRPr="00C550F6">
        <w:rPr>
          <w:sz w:val="18"/>
          <w:szCs w:val="18"/>
        </w:rPr>
        <w:t>Elder-Ray Index Bull Power (ERBU)</w:t>
      </w:r>
    </w:p>
    <w:p w14:paraId="5EE4AD03" w14:textId="77777777" w:rsidR="00C550F6" w:rsidRPr="00C550F6" w:rsidRDefault="00C550F6" w:rsidP="00C550F6">
      <w:pPr>
        <w:pStyle w:val="BodyText"/>
        <w:spacing w:before="79" w:line="228" w:lineRule="auto"/>
        <w:ind w:right="41" w:firstLine="288"/>
        <w:rPr>
          <w:sz w:val="18"/>
          <w:szCs w:val="18"/>
        </w:rPr>
      </w:pPr>
      <w:r w:rsidRPr="00C550F6">
        <w:rPr>
          <w:sz w:val="18"/>
          <w:szCs w:val="18"/>
        </w:rPr>
        <w:t>Exponential Moving Average (EMA)</w:t>
      </w:r>
    </w:p>
    <w:p w14:paraId="05CE2303" w14:textId="77777777" w:rsidR="00C550F6" w:rsidRPr="00C550F6" w:rsidRDefault="00C550F6" w:rsidP="00C550F6">
      <w:pPr>
        <w:pStyle w:val="BodyText"/>
        <w:spacing w:before="79" w:line="228" w:lineRule="auto"/>
        <w:ind w:right="41" w:firstLine="288"/>
        <w:rPr>
          <w:sz w:val="18"/>
          <w:szCs w:val="18"/>
        </w:rPr>
      </w:pPr>
      <w:r w:rsidRPr="00C550F6">
        <w:rPr>
          <w:sz w:val="18"/>
          <w:szCs w:val="18"/>
        </w:rPr>
        <w:t>Exponential Moving Average Volume (EMAV)</w:t>
      </w:r>
    </w:p>
    <w:p w14:paraId="5021D22D" w14:textId="77777777" w:rsidR="00C550F6" w:rsidRPr="00C550F6" w:rsidRDefault="00C550F6" w:rsidP="00C550F6">
      <w:pPr>
        <w:pStyle w:val="BodyText"/>
        <w:spacing w:before="79" w:line="228" w:lineRule="auto"/>
        <w:ind w:right="41" w:firstLine="288"/>
        <w:rPr>
          <w:sz w:val="18"/>
          <w:szCs w:val="18"/>
        </w:rPr>
      </w:pPr>
      <w:r w:rsidRPr="00C550F6">
        <w:rPr>
          <w:sz w:val="18"/>
          <w:szCs w:val="18"/>
        </w:rPr>
        <w:t>Fibonacci Extension (FIBE)</w:t>
      </w:r>
    </w:p>
    <w:p w14:paraId="3C88E901" w14:textId="77777777" w:rsidR="00C550F6" w:rsidRPr="00C550F6" w:rsidRDefault="00C550F6" w:rsidP="00C550F6">
      <w:pPr>
        <w:pStyle w:val="BodyText"/>
        <w:spacing w:before="79" w:line="228" w:lineRule="auto"/>
        <w:ind w:right="41" w:firstLine="288"/>
        <w:rPr>
          <w:sz w:val="18"/>
          <w:szCs w:val="18"/>
        </w:rPr>
      </w:pPr>
      <w:r w:rsidRPr="00C550F6">
        <w:rPr>
          <w:sz w:val="18"/>
          <w:szCs w:val="18"/>
        </w:rPr>
        <w:t>Fibonacci Fan (FIBF)</w:t>
      </w:r>
    </w:p>
    <w:p w14:paraId="6B5FB157" w14:textId="77777777" w:rsidR="00C550F6" w:rsidRPr="00C550F6" w:rsidRDefault="00C550F6" w:rsidP="00C550F6">
      <w:pPr>
        <w:pStyle w:val="BodyText"/>
        <w:spacing w:before="79" w:line="228" w:lineRule="auto"/>
        <w:ind w:right="41" w:firstLine="288"/>
        <w:rPr>
          <w:sz w:val="18"/>
          <w:szCs w:val="18"/>
        </w:rPr>
      </w:pPr>
      <w:r w:rsidRPr="00C550F6">
        <w:rPr>
          <w:sz w:val="18"/>
          <w:szCs w:val="18"/>
        </w:rPr>
        <w:t>Fibonacci Retracement (FIBR)</w:t>
      </w:r>
    </w:p>
    <w:p w14:paraId="5123389C" w14:textId="77777777" w:rsidR="00C550F6" w:rsidRPr="00C550F6" w:rsidRDefault="00C550F6" w:rsidP="00C550F6">
      <w:pPr>
        <w:pStyle w:val="BodyText"/>
        <w:spacing w:before="79" w:line="228" w:lineRule="auto"/>
        <w:ind w:right="41" w:firstLine="288"/>
        <w:rPr>
          <w:sz w:val="18"/>
          <w:szCs w:val="18"/>
        </w:rPr>
      </w:pPr>
      <w:r w:rsidRPr="00C550F6">
        <w:rPr>
          <w:sz w:val="18"/>
          <w:szCs w:val="18"/>
        </w:rPr>
        <w:t>Linear Regression Indicator (LRI)</w:t>
      </w:r>
    </w:p>
    <w:p w14:paraId="4F3FA8FD" w14:textId="77777777" w:rsidR="00C550F6" w:rsidRPr="00C550F6" w:rsidRDefault="00C550F6" w:rsidP="00C550F6">
      <w:pPr>
        <w:pStyle w:val="BodyText"/>
        <w:spacing w:before="79" w:line="228" w:lineRule="auto"/>
        <w:ind w:right="41" w:firstLine="288"/>
        <w:rPr>
          <w:sz w:val="18"/>
          <w:szCs w:val="18"/>
        </w:rPr>
      </w:pPr>
      <w:r w:rsidRPr="00C550F6">
        <w:rPr>
          <w:sz w:val="18"/>
          <w:szCs w:val="18"/>
        </w:rPr>
        <w:t>Lower Bollinger Band (LBB)</w:t>
      </w:r>
    </w:p>
    <w:p w14:paraId="5842D676" w14:textId="77777777" w:rsidR="00C550F6" w:rsidRPr="00C550F6" w:rsidRDefault="00C550F6" w:rsidP="00C550F6">
      <w:pPr>
        <w:pStyle w:val="BodyText"/>
        <w:spacing w:before="79" w:line="228" w:lineRule="auto"/>
        <w:ind w:right="41" w:firstLine="288"/>
        <w:rPr>
          <w:sz w:val="18"/>
          <w:szCs w:val="18"/>
        </w:rPr>
      </w:pPr>
      <w:r w:rsidRPr="00C550F6">
        <w:rPr>
          <w:sz w:val="18"/>
          <w:szCs w:val="18"/>
        </w:rPr>
        <w:t>Momentum (MOM)</w:t>
      </w:r>
    </w:p>
    <w:p w14:paraId="172A63EE" w14:textId="77777777" w:rsidR="00C550F6" w:rsidRPr="00C550F6" w:rsidRDefault="00C550F6" w:rsidP="00C550F6">
      <w:pPr>
        <w:pStyle w:val="BodyText"/>
        <w:spacing w:before="79" w:line="228" w:lineRule="auto"/>
        <w:ind w:right="41" w:firstLine="288"/>
        <w:rPr>
          <w:sz w:val="18"/>
          <w:szCs w:val="18"/>
        </w:rPr>
      </w:pPr>
      <w:r w:rsidRPr="00C550F6">
        <w:rPr>
          <w:sz w:val="18"/>
          <w:szCs w:val="18"/>
        </w:rPr>
        <w:t>Money Flow Index (MFI)</w:t>
      </w:r>
    </w:p>
    <w:p w14:paraId="50486CFD" w14:textId="77777777" w:rsidR="00C550F6" w:rsidRPr="00C550F6" w:rsidRDefault="00C550F6" w:rsidP="00C550F6">
      <w:pPr>
        <w:pStyle w:val="BodyText"/>
        <w:spacing w:before="79" w:line="228" w:lineRule="auto"/>
        <w:ind w:right="41" w:firstLine="288"/>
        <w:rPr>
          <w:sz w:val="18"/>
          <w:szCs w:val="18"/>
        </w:rPr>
      </w:pPr>
      <w:r w:rsidRPr="00C550F6">
        <w:rPr>
          <w:sz w:val="18"/>
          <w:szCs w:val="18"/>
        </w:rPr>
        <w:t>Moving Average Convergence/Divergence (MACD)</w:t>
      </w:r>
    </w:p>
    <w:p w14:paraId="058A035A" w14:textId="77777777" w:rsidR="00C550F6" w:rsidRPr="00C550F6" w:rsidRDefault="00C550F6" w:rsidP="00C550F6">
      <w:pPr>
        <w:pStyle w:val="BodyText"/>
        <w:spacing w:before="79" w:line="228" w:lineRule="auto"/>
        <w:ind w:right="41" w:firstLine="288"/>
        <w:rPr>
          <w:sz w:val="18"/>
          <w:szCs w:val="18"/>
        </w:rPr>
      </w:pPr>
      <w:r w:rsidRPr="00C550F6">
        <w:rPr>
          <w:sz w:val="18"/>
          <w:szCs w:val="18"/>
        </w:rPr>
        <w:t>MACD Signal Line (MACDSL)</w:t>
      </w:r>
    </w:p>
    <w:p w14:paraId="1AAF3438" w14:textId="77777777" w:rsidR="00C550F6" w:rsidRPr="00C550F6" w:rsidRDefault="00C550F6" w:rsidP="00C550F6">
      <w:pPr>
        <w:pStyle w:val="BodyText"/>
        <w:spacing w:before="79" w:line="228" w:lineRule="auto"/>
        <w:ind w:right="41" w:firstLine="288"/>
        <w:rPr>
          <w:sz w:val="18"/>
          <w:szCs w:val="18"/>
        </w:rPr>
      </w:pPr>
      <w:r w:rsidRPr="00C550F6">
        <w:rPr>
          <w:sz w:val="18"/>
          <w:szCs w:val="18"/>
        </w:rPr>
        <w:t>MACD Histogram (MACDHI)</w:t>
      </w:r>
    </w:p>
    <w:p w14:paraId="4E72F560" w14:textId="77777777" w:rsidR="00C550F6" w:rsidRPr="00C550F6" w:rsidRDefault="00C550F6" w:rsidP="00C550F6">
      <w:pPr>
        <w:pStyle w:val="BodyText"/>
        <w:spacing w:before="79" w:line="228" w:lineRule="auto"/>
        <w:ind w:right="41" w:firstLine="288"/>
        <w:rPr>
          <w:sz w:val="18"/>
          <w:szCs w:val="18"/>
        </w:rPr>
      </w:pPr>
      <w:r w:rsidRPr="00C550F6">
        <w:rPr>
          <w:sz w:val="18"/>
          <w:szCs w:val="18"/>
        </w:rPr>
        <w:t>Negative Directional Movement Indicator (NDMI)</w:t>
      </w:r>
    </w:p>
    <w:p w14:paraId="2B3C4416" w14:textId="77777777" w:rsidR="00C550F6" w:rsidRPr="00C550F6" w:rsidRDefault="00C550F6" w:rsidP="00C550F6">
      <w:pPr>
        <w:pStyle w:val="BodyText"/>
        <w:spacing w:before="79" w:line="228" w:lineRule="auto"/>
        <w:ind w:right="41" w:firstLine="288"/>
        <w:rPr>
          <w:sz w:val="18"/>
          <w:szCs w:val="18"/>
        </w:rPr>
      </w:pPr>
      <w:r w:rsidRPr="00C550F6">
        <w:rPr>
          <w:sz w:val="18"/>
          <w:szCs w:val="18"/>
        </w:rPr>
        <w:t>On Balance Volume (OBV)</w:t>
      </w:r>
    </w:p>
    <w:p w14:paraId="420CBC29"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Parabolic (SAR)</w:t>
      </w:r>
    </w:p>
    <w:p w14:paraId="7D9B4543"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Percentage Price Oscillator (PPO)</w:t>
      </w:r>
    </w:p>
    <w:p w14:paraId="48BD0969"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Percentage Volume Oscillator (PVO)</w:t>
      </w:r>
    </w:p>
    <w:p w14:paraId="171ED48B"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Pivot Point - Camarilla (PIVOTCAM)</w:t>
      </w:r>
    </w:p>
    <w:p w14:paraId="14CC9258" w14:textId="77777777" w:rsidR="00C550F6" w:rsidRPr="00C550F6" w:rsidRDefault="00C550F6" w:rsidP="00C550F6">
      <w:pPr>
        <w:pStyle w:val="BodyText"/>
        <w:spacing w:before="79" w:line="228" w:lineRule="auto"/>
        <w:ind w:right="41" w:firstLine="288"/>
        <w:rPr>
          <w:sz w:val="18"/>
          <w:szCs w:val="18"/>
        </w:rPr>
      </w:pPr>
      <w:r w:rsidRPr="00C550F6">
        <w:rPr>
          <w:sz w:val="18"/>
          <w:szCs w:val="18"/>
        </w:rPr>
        <w:lastRenderedPageBreak/>
        <w:t>Pivot Point - DeMark's System (PIVOTDMK)</w:t>
      </w:r>
    </w:p>
    <w:p w14:paraId="0716F624"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Pivot Point - Woodie's System (PIVOTWD)</w:t>
      </w:r>
    </w:p>
    <w:p w14:paraId="16ED7116"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Pivot Point (PIVOT)</w:t>
      </w:r>
    </w:p>
    <w:p w14:paraId="2E1820B3"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Positive Directional Movement Indicator (PDMI)</w:t>
      </w:r>
    </w:p>
    <w:p w14:paraId="6EAB4658" w14:textId="77777777" w:rsidR="00C550F6" w:rsidRPr="00C550F6" w:rsidRDefault="00C550F6" w:rsidP="00C550F6">
      <w:pPr>
        <w:pStyle w:val="BodyText"/>
        <w:spacing w:before="79" w:line="228" w:lineRule="auto"/>
        <w:ind w:right="41" w:firstLine="288"/>
        <w:rPr>
          <w:sz w:val="18"/>
          <w:szCs w:val="18"/>
        </w:rPr>
      </w:pPr>
      <w:r w:rsidRPr="00C550F6">
        <w:rPr>
          <w:sz w:val="18"/>
          <w:szCs w:val="18"/>
        </w:rPr>
        <w:t>Rate of Change (ROC)</w:t>
      </w:r>
    </w:p>
    <w:p w14:paraId="3BB69D92" w14:textId="77777777" w:rsidR="00C550F6" w:rsidRPr="00C550F6" w:rsidRDefault="00C550F6" w:rsidP="00C550F6">
      <w:pPr>
        <w:pStyle w:val="BodyText"/>
        <w:spacing w:before="79" w:line="228" w:lineRule="auto"/>
        <w:ind w:right="41" w:firstLine="288"/>
        <w:rPr>
          <w:sz w:val="18"/>
          <w:szCs w:val="18"/>
        </w:rPr>
      </w:pPr>
      <w:r w:rsidRPr="00C550F6">
        <w:rPr>
          <w:sz w:val="18"/>
          <w:szCs w:val="18"/>
        </w:rPr>
        <w:t>Relative Strength Index (RSI)</w:t>
      </w:r>
    </w:p>
    <w:p w14:paraId="67C7D0C3" w14:textId="77777777" w:rsidR="00C550F6" w:rsidRPr="00C550F6" w:rsidRDefault="00C550F6" w:rsidP="00C550F6">
      <w:pPr>
        <w:pStyle w:val="BodyText"/>
        <w:spacing w:before="79" w:line="228" w:lineRule="auto"/>
        <w:ind w:right="41" w:firstLine="288"/>
        <w:rPr>
          <w:sz w:val="18"/>
          <w:szCs w:val="18"/>
        </w:rPr>
      </w:pPr>
      <w:proofErr w:type="spellStart"/>
      <w:r w:rsidRPr="00C550F6">
        <w:rPr>
          <w:sz w:val="18"/>
          <w:szCs w:val="18"/>
        </w:rPr>
        <w:t>SafeZone</w:t>
      </w:r>
      <w:proofErr w:type="spellEnd"/>
      <w:r w:rsidRPr="00C550F6">
        <w:rPr>
          <w:sz w:val="18"/>
          <w:szCs w:val="18"/>
        </w:rPr>
        <w:t xml:space="preserve"> Long (SZL)</w:t>
      </w:r>
    </w:p>
    <w:p w14:paraId="77A0CA2A" w14:textId="77777777" w:rsidR="00C550F6" w:rsidRPr="00C550F6" w:rsidRDefault="00C550F6" w:rsidP="00C550F6">
      <w:pPr>
        <w:pStyle w:val="BodyText"/>
        <w:spacing w:before="79" w:line="228" w:lineRule="auto"/>
        <w:ind w:right="41" w:firstLine="288"/>
        <w:rPr>
          <w:sz w:val="18"/>
          <w:szCs w:val="18"/>
        </w:rPr>
      </w:pPr>
      <w:proofErr w:type="spellStart"/>
      <w:r w:rsidRPr="00C550F6">
        <w:rPr>
          <w:sz w:val="18"/>
          <w:szCs w:val="18"/>
        </w:rPr>
        <w:t>SafeZone</w:t>
      </w:r>
      <w:proofErr w:type="spellEnd"/>
      <w:r w:rsidRPr="00C550F6">
        <w:rPr>
          <w:sz w:val="18"/>
          <w:szCs w:val="18"/>
        </w:rPr>
        <w:t xml:space="preserve"> Short (SZS)</w:t>
      </w:r>
    </w:p>
    <w:p w14:paraId="6E789ABA" w14:textId="77777777" w:rsidR="00C550F6" w:rsidRPr="00C550F6" w:rsidRDefault="00C550F6" w:rsidP="00C550F6">
      <w:pPr>
        <w:pStyle w:val="BodyText"/>
        <w:spacing w:before="79" w:line="228" w:lineRule="auto"/>
        <w:ind w:right="41" w:firstLine="288"/>
        <w:rPr>
          <w:sz w:val="18"/>
          <w:szCs w:val="18"/>
        </w:rPr>
      </w:pPr>
      <w:r w:rsidRPr="00C550F6">
        <w:rPr>
          <w:sz w:val="18"/>
          <w:szCs w:val="18"/>
        </w:rPr>
        <w:t>Simple Moving Average (SMA)</w:t>
      </w:r>
    </w:p>
    <w:p w14:paraId="23D4B9F3" w14:textId="77777777" w:rsidR="00C550F6" w:rsidRPr="00C550F6" w:rsidRDefault="00C550F6" w:rsidP="00C550F6">
      <w:pPr>
        <w:pStyle w:val="BodyText"/>
        <w:spacing w:before="79" w:line="228" w:lineRule="auto"/>
        <w:ind w:right="41" w:firstLine="288"/>
        <w:rPr>
          <w:sz w:val="18"/>
          <w:szCs w:val="18"/>
        </w:rPr>
      </w:pPr>
      <w:r w:rsidRPr="00C550F6">
        <w:rPr>
          <w:sz w:val="18"/>
          <w:szCs w:val="18"/>
        </w:rPr>
        <w:t>Simple Moving Average Volume (SMAV)</w:t>
      </w:r>
    </w:p>
    <w:p w14:paraId="32EE53CE" w14:textId="77777777" w:rsidR="00C550F6" w:rsidRPr="00C550F6" w:rsidRDefault="00C550F6" w:rsidP="00C550F6">
      <w:pPr>
        <w:pStyle w:val="BodyText"/>
        <w:spacing w:before="79" w:line="228" w:lineRule="auto"/>
        <w:ind w:right="41" w:firstLine="288"/>
        <w:rPr>
          <w:sz w:val="18"/>
          <w:szCs w:val="18"/>
        </w:rPr>
      </w:pPr>
      <w:r w:rsidRPr="00C550F6">
        <w:rPr>
          <w:sz w:val="18"/>
          <w:szCs w:val="18"/>
        </w:rPr>
        <w:t>Sine Weighted Moving Average (SWMA)</w:t>
      </w:r>
    </w:p>
    <w:p w14:paraId="7C11C5F9" w14:textId="77777777" w:rsidR="00C550F6" w:rsidRPr="00C550F6" w:rsidRDefault="00C550F6" w:rsidP="00C550F6">
      <w:pPr>
        <w:pStyle w:val="BodyText"/>
        <w:spacing w:before="79" w:line="228" w:lineRule="auto"/>
        <w:ind w:right="41" w:firstLine="288"/>
        <w:rPr>
          <w:sz w:val="18"/>
          <w:szCs w:val="18"/>
        </w:rPr>
      </w:pPr>
      <w:r w:rsidRPr="00C550F6">
        <w:rPr>
          <w:sz w:val="18"/>
          <w:szCs w:val="18"/>
        </w:rPr>
        <w:t>Stochastic Oscillator (%D)</w:t>
      </w:r>
    </w:p>
    <w:p w14:paraId="50E4CDE1" w14:textId="77777777" w:rsidR="00C550F6" w:rsidRPr="00C550F6" w:rsidRDefault="00C550F6" w:rsidP="00C550F6">
      <w:pPr>
        <w:pStyle w:val="BodyText"/>
        <w:spacing w:before="79" w:line="228" w:lineRule="auto"/>
        <w:ind w:right="41" w:firstLine="288"/>
        <w:rPr>
          <w:sz w:val="18"/>
          <w:szCs w:val="18"/>
        </w:rPr>
      </w:pPr>
      <w:r w:rsidRPr="00C550F6">
        <w:rPr>
          <w:sz w:val="18"/>
          <w:szCs w:val="18"/>
        </w:rPr>
        <w:t>Stochastic Oscillator (%K)</w:t>
      </w:r>
    </w:p>
    <w:p w14:paraId="74BB0448" w14:textId="77777777" w:rsidR="00C550F6" w:rsidRPr="00C550F6" w:rsidRDefault="00C550F6" w:rsidP="00C550F6">
      <w:pPr>
        <w:pStyle w:val="BodyText"/>
        <w:spacing w:before="79" w:line="228" w:lineRule="auto"/>
        <w:ind w:right="41" w:firstLine="288"/>
        <w:rPr>
          <w:sz w:val="18"/>
          <w:szCs w:val="18"/>
        </w:rPr>
      </w:pPr>
      <w:r w:rsidRPr="00C550F6">
        <w:rPr>
          <w:sz w:val="18"/>
          <w:szCs w:val="18"/>
        </w:rPr>
        <w:t>Triangular Moving Average (TMA)</w:t>
      </w:r>
    </w:p>
    <w:p w14:paraId="45A02C4D" w14:textId="77777777" w:rsidR="00C550F6" w:rsidRPr="00C550F6" w:rsidRDefault="00C550F6" w:rsidP="00C550F6">
      <w:pPr>
        <w:pStyle w:val="BodyText"/>
        <w:spacing w:before="79" w:line="228" w:lineRule="auto"/>
        <w:ind w:right="41" w:firstLine="288"/>
        <w:rPr>
          <w:sz w:val="18"/>
          <w:szCs w:val="18"/>
        </w:rPr>
      </w:pPr>
      <w:r w:rsidRPr="00C550F6">
        <w:rPr>
          <w:sz w:val="18"/>
          <w:szCs w:val="18"/>
        </w:rPr>
        <w:t>True Range (TR)</w:t>
      </w:r>
    </w:p>
    <w:p w14:paraId="2CD0606A" w14:textId="77777777" w:rsidR="00C550F6" w:rsidRPr="00C550F6" w:rsidRDefault="00C550F6" w:rsidP="00C550F6">
      <w:pPr>
        <w:pStyle w:val="BodyText"/>
        <w:spacing w:before="79" w:line="228" w:lineRule="auto"/>
        <w:ind w:right="41" w:firstLine="288"/>
        <w:rPr>
          <w:sz w:val="18"/>
          <w:szCs w:val="18"/>
        </w:rPr>
      </w:pPr>
      <w:r w:rsidRPr="00C550F6">
        <w:rPr>
          <w:sz w:val="18"/>
          <w:szCs w:val="18"/>
        </w:rPr>
        <w:t>Ulcer Index (UIX)</w:t>
      </w:r>
    </w:p>
    <w:p w14:paraId="510F7F33" w14:textId="77777777" w:rsidR="00C550F6" w:rsidRPr="00C550F6" w:rsidRDefault="00C550F6" w:rsidP="00C550F6">
      <w:pPr>
        <w:pStyle w:val="BodyText"/>
        <w:spacing w:before="79" w:line="228" w:lineRule="auto"/>
        <w:ind w:right="41" w:firstLine="288"/>
        <w:rPr>
          <w:sz w:val="18"/>
          <w:szCs w:val="18"/>
        </w:rPr>
      </w:pPr>
      <w:r w:rsidRPr="00C550F6">
        <w:rPr>
          <w:sz w:val="18"/>
          <w:szCs w:val="18"/>
        </w:rPr>
        <w:t>Upper Bollinger Band (UBB)</w:t>
      </w:r>
    </w:p>
    <w:p w14:paraId="5A8FA64F" w14:textId="77777777" w:rsidR="00C550F6" w:rsidRPr="00C550F6" w:rsidRDefault="00C550F6" w:rsidP="00C550F6">
      <w:pPr>
        <w:pStyle w:val="BodyText"/>
        <w:spacing w:before="79" w:line="228" w:lineRule="auto"/>
        <w:ind w:right="41" w:firstLine="288"/>
        <w:rPr>
          <w:sz w:val="18"/>
          <w:szCs w:val="18"/>
        </w:rPr>
      </w:pPr>
      <w:r w:rsidRPr="00C550F6">
        <w:rPr>
          <w:sz w:val="18"/>
          <w:szCs w:val="18"/>
        </w:rPr>
        <w:t>Wilder's Moving Average (WMA)</w:t>
      </w:r>
    </w:p>
    <w:p w14:paraId="4385CC70" w14:textId="53EC1C49" w:rsidR="00C550F6" w:rsidRPr="00C550F6" w:rsidRDefault="00C550F6" w:rsidP="00C550F6">
      <w:pPr>
        <w:pStyle w:val="BodyText"/>
        <w:spacing w:before="79" w:line="228" w:lineRule="auto"/>
        <w:ind w:right="41" w:firstLine="288"/>
        <w:rPr>
          <w:sz w:val="18"/>
          <w:szCs w:val="18"/>
        </w:rPr>
      </w:pPr>
      <w:r w:rsidRPr="00C550F6">
        <w:rPr>
          <w:sz w:val="18"/>
          <w:szCs w:val="18"/>
        </w:rPr>
        <w:t>Williams %R</w:t>
      </w:r>
    </w:p>
    <w:p w14:paraId="13337FD2" w14:textId="77777777" w:rsidR="00C550F6" w:rsidRPr="008969C6" w:rsidRDefault="00C550F6" w:rsidP="00C550F6">
      <w:pPr>
        <w:pStyle w:val="BodyText"/>
        <w:spacing w:before="79" w:line="228" w:lineRule="auto"/>
        <w:ind w:right="41" w:firstLine="288"/>
      </w:pPr>
    </w:p>
    <w:p w14:paraId="3A5439CD" w14:textId="7A291DFB" w:rsidR="0036181F" w:rsidRPr="001014A2" w:rsidRDefault="008442F1" w:rsidP="001014A2">
      <w:pPr>
        <w:pStyle w:val="ListParagraph"/>
        <w:numPr>
          <w:ilvl w:val="0"/>
          <w:numId w:val="3"/>
        </w:numPr>
        <w:tabs>
          <w:tab w:val="left" w:pos="1798"/>
        </w:tabs>
        <w:ind w:left="1797" w:hanging="342"/>
        <w:jc w:val="left"/>
        <w:rPr>
          <w:sz w:val="16"/>
        </w:rPr>
      </w:pPr>
      <w:r>
        <w:rPr>
          <w:sz w:val="20"/>
        </w:rPr>
        <w:t>P</w:t>
      </w:r>
      <w:r>
        <w:rPr>
          <w:sz w:val="16"/>
        </w:rPr>
        <w:t>ROPOSED</w:t>
      </w:r>
      <w:r>
        <w:rPr>
          <w:spacing w:val="-3"/>
          <w:sz w:val="16"/>
        </w:rPr>
        <w:t xml:space="preserve"> </w:t>
      </w:r>
      <w:r>
        <w:rPr>
          <w:sz w:val="20"/>
        </w:rPr>
        <w:t>S</w:t>
      </w:r>
      <w:r>
        <w:rPr>
          <w:sz w:val="16"/>
        </w:rPr>
        <w:t>OLUTION</w:t>
      </w:r>
    </w:p>
    <w:p w14:paraId="75127EBE" w14:textId="77777777" w:rsidR="008969C6" w:rsidRDefault="008969C6" w:rsidP="008969C6">
      <w:pPr>
        <w:pStyle w:val="BodyText"/>
        <w:spacing w:before="80" w:line="228" w:lineRule="auto"/>
        <w:ind w:right="104" w:firstLine="288"/>
      </w:pPr>
      <w:r>
        <w:t>In the realm of financial decision-making and stock price predictions, researchers and practitioners have explored various approaches and methodologies. The literature review below outlines key studies and approaches that serve as foundational knowledge in this domain.</w:t>
      </w:r>
    </w:p>
    <w:p w14:paraId="61952872" w14:textId="77777777" w:rsidR="008969C6" w:rsidRDefault="008969C6" w:rsidP="008969C6">
      <w:pPr>
        <w:pStyle w:val="BodyText"/>
        <w:spacing w:before="80" w:line="228" w:lineRule="auto"/>
        <w:ind w:right="104" w:firstLine="288"/>
      </w:pPr>
    </w:p>
    <w:p w14:paraId="323D8D22" w14:textId="77777777" w:rsidR="008969C6" w:rsidRDefault="008969C6" w:rsidP="008969C6">
      <w:pPr>
        <w:pStyle w:val="BodyText"/>
        <w:spacing w:before="80" w:line="228" w:lineRule="auto"/>
        <w:ind w:right="104" w:firstLine="288"/>
      </w:pPr>
      <w:r>
        <w:t>A. Fundamental Analysis:</w:t>
      </w:r>
    </w:p>
    <w:p w14:paraId="7E5C2485" w14:textId="77777777" w:rsidR="008969C6" w:rsidRDefault="008969C6" w:rsidP="008969C6">
      <w:pPr>
        <w:pStyle w:val="BodyText"/>
        <w:spacing w:before="80" w:line="228" w:lineRule="auto"/>
        <w:ind w:right="104" w:firstLine="288"/>
      </w:pPr>
      <w:r>
        <w:t>Fundamental analysis is a widely recognized approach to investment decision-making. It involves evaluating a company's financial health, examining its balance sheets, income statements, and cash flow statements, and assessing macroeconomic factors that may influence stock prices. Researchers such as Graham and Dodd (1934) and more recently, Damodaran (2012), have made significant contributions to this method, emphasizing the importance of intrinsic value and the relationship between financial metrics and stock prices.</w:t>
      </w:r>
    </w:p>
    <w:p w14:paraId="2FF1F3FC" w14:textId="77777777" w:rsidR="008969C6" w:rsidRDefault="008969C6" w:rsidP="008969C6">
      <w:pPr>
        <w:pStyle w:val="BodyText"/>
        <w:spacing w:before="80" w:line="228" w:lineRule="auto"/>
        <w:ind w:right="104" w:firstLine="288"/>
      </w:pPr>
    </w:p>
    <w:p w14:paraId="7029D326" w14:textId="77777777" w:rsidR="008969C6" w:rsidRDefault="008969C6" w:rsidP="008969C6">
      <w:pPr>
        <w:pStyle w:val="BodyText"/>
        <w:spacing w:before="80" w:line="228" w:lineRule="auto"/>
        <w:ind w:right="104" w:firstLine="288"/>
      </w:pPr>
      <w:r>
        <w:t>B. Technical Analysis:</w:t>
      </w:r>
    </w:p>
    <w:p w14:paraId="0F965963" w14:textId="77777777" w:rsidR="008969C6" w:rsidRDefault="008969C6" w:rsidP="008969C6">
      <w:pPr>
        <w:pStyle w:val="BodyText"/>
        <w:spacing w:before="80" w:line="228" w:lineRule="auto"/>
        <w:ind w:right="104" w:firstLine="288"/>
      </w:pPr>
      <w:r>
        <w:t>Technical analysis is another prominent method for predicting stock prices, which focuses on historical price and volume data. Practitioners of technical analysis utilize various technical indicators, chart patterns, and statistical models to forecast future price movements. Pioneers like Charles Dow, who introduced Dow Theory in the late 19th century, and more contemporary figures like John J. Murphy (1999) have contributed to the development and popularization of technical analysis.</w:t>
      </w:r>
    </w:p>
    <w:p w14:paraId="15EFD2C1" w14:textId="77777777" w:rsidR="008969C6" w:rsidRDefault="008969C6" w:rsidP="008969C6">
      <w:pPr>
        <w:pStyle w:val="BodyText"/>
        <w:spacing w:before="80" w:line="228" w:lineRule="auto"/>
        <w:ind w:right="104" w:firstLine="288"/>
      </w:pPr>
    </w:p>
    <w:p w14:paraId="2C74FAE6" w14:textId="77777777" w:rsidR="008969C6" w:rsidRDefault="008969C6" w:rsidP="008969C6">
      <w:pPr>
        <w:pStyle w:val="BodyText"/>
        <w:spacing w:before="80" w:line="228" w:lineRule="auto"/>
        <w:ind w:right="104" w:firstLine="288"/>
      </w:pPr>
      <w:r>
        <w:t>C. Machine Learning and Artificial Intelligence:</w:t>
      </w:r>
    </w:p>
    <w:p w14:paraId="1ECA19A8" w14:textId="77777777" w:rsidR="008969C6" w:rsidRDefault="008969C6" w:rsidP="008969C6">
      <w:pPr>
        <w:pStyle w:val="BodyText"/>
        <w:spacing w:before="80" w:line="228" w:lineRule="auto"/>
        <w:ind w:right="104" w:firstLine="288"/>
      </w:pPr>
      <w:r>
        <w:t>Recent advancements in machine learning and artificial intelligence (AI) have opened up new avenues for enhancing investment decisions. Researchers have explored the application of algorithms, deep learning models, and neural networks to predict stock prices based on historical data. Notable studies by Bao, Yue, Rao, and Wang (2017) and Zhang, Zheng, and Zhao (2011) have delved into the use of machine learning in stock price forecasting.</w:t>
      </w:r>
    </w:p>
    <w:p w14:paraId="4A46FC2D" w14:textId="77777777" w:rsidR="008969C6" w:rsidRDefault="008969C6" w:rsidP="008969C6">
      <w:pPr>
        <w:pStyle w:val="BodyText"/>
        <w:spacing w:before="80" w:line="228" w:lineRule="auto"/>
        <w:ind w:right="104" w:firstLine="288"/>
      </w:pPr>
    </w:p>
    <w:p w14:paraId="20452264" w14:textId="77777777" w:rsidR="008969C6" w:rsidRDefault="008969C6" w:rsidP="008969C6">
      <w:pPr>
        <w:pStyle w:val="BodyText"/>
        <w:spacing w:before="80" w:line="228" w:lineRule="auto"/>
        <w:ind w:right="104" w:firstLine="288"/>
      </w:pPr>
      <w:r>
        <w:t>D. Sentiment Analysis and News-Based Predictions:</w:t>
      </w:r>
    </w:p>
    <w:p w14:paraId="2B0D868C" w14:textId="23D6C931" w:rsidR="0036181F" w:rsidRDefault="008969C6" w:rsidP="001014A2">
      <w:pPr>
        <w:pStyle w:val="BodyText"/>
        <w:spacing w:before="80" w:line="228" w:lineRule="auto"/>
        <w:ind w:right="104" w:firstLine="288"/>
      </w:pPr>
      <w:r>
        <w:t>With the proliferation of social media and online news sources, sentiment analysis has gained prominence in predicting stock prices. Researchers like Tetlock (2007) and Bollen, Mao, and Zeng (2011) have investigated the relationship between social media sentiment and stock price movements, suggesting that real-time news and public sentiment can impact market dynamics.</w:t>
      </w:r>
    </w:p>
    <w:p w14:paraId="18B3DDD6" w14:textId="77777777" w:rsidR="001014A2" w:rsidRDefault="001014A2" w:rsidP="001014A2">
      <w:pPr>
        <w:pStyle w:val="BodyText"/>
        <w:spacing w:before="80" w:line="228" w:lineRule="auto"/>
        <w:ind w:right="104" w:firstLine="288"/>
      </w:pPr>
    </w:p>
    <w:p w14:paraId="4034EBAC" w14:textId="77777777" w:rsidR="008969C6" w:rsidRDefault="008969C6" w:rsidP="008969C6">
      <w:pPr>
        <w:pStyle w:val="BodyText"/>
        <w:spacing w:before="80" w:line="228" w:lineRule="auto"/>
        <w:ind w:right="104" w:firstLine="288"/>
      </w:pPr>
      <w:r>
        <w:t>E. Hybrid Approaches:</w:t>
      </w:r>
    </w:p>
    <w:p w14:paraId="4941F907" w14:textId="77777777" w:rsidR="008969C6" w:rsidRDefault="008969C6" w:rsidP="008969C6">
      <w:pPr>
        <w:pStyle w:val="BodyText"/>
        <w:spacing w:before="80" w:line="228" w:lineRule="auto"/>
        <w:ind w:right="104" w:firstLine="288"/>
      </w:pPr>
      <w:r>
        <w:t xml:space="preserve">Some research efforts have combined multiple methods to develop hybrid models for stock price predictions. These hybrid approaches often integrate fundamental analysis, technical indicators, and machine learning techniques to improve the accuracy of predictions. Examples of such work include studies by </w:t>
      </w:r>
      <w:proofErr w:type="spellStart"/>
      <w:r>
        <w:t>Tsantekidis</w:t>
      </w:r>
      <w:proofErr w:type="spellEnd"/>
      <w:r>
        <w:t xml:space="preserve">, </w:t>
      </w:r>
      <w:proofErr w:type="spellStart"/>
      <w:r>
        <w:t>Passalis</w:t>
      </w:r>
      <w:proofErr w:type="spellEnd"/>
      <w:r>
        <w:t xml:space="preserve">, </w:t>
      </w:r>
      <w:proofErr w:type="spellStart"/>
      <w:r>
        <w:t>Tefas</w:t>
      </w:r>
      <w:proofErr w:type="spellEnd"/>
      <w:r>
        <w:t xml:space="preserve">, </w:t>
      </w:r>
      <w:proofErr w:type="spellStart"/>
      <w:r>
        <w:t>Kanniainen</w:t>
      </w:r>
      <w:proofErr w:type="spellEnd"/>
      <w:r>
        <w:t xml:space="preserve">, and </w:t>
      </w:r>
      <w:proofErr w:type="spellStart"/>
      <w:r>
        <w:t>Gabbouj</w:t>
      </w:r>
      <w:proofErr w:type="spellEnd"/>
      <w:r>
        <w:t xml:space="preserve"> (2017) and Zhang, Shen, and Li (2011).</w:t>
      </w:r>
    </w:p>
    <w:p w14:paraId="4A72A5FB" w14:textId="77777777" w:rsidR="00FB3777" w:rsidRDefault="00FB3777" w:rsidP="008969C6">
      <w:pPr>
        <w:pStyle w:val="BodyText"/>
        <w:spacing w:before="80" w:line="228" w:lineRule="auto"/>
        <w:ind w:right="104" w:firstLine="288"/>
      </w:pPr>
    </w:p>
    <w:p w14:paraId="2F8E110A" w14:textId="08A10202" w:rsidR="008969C6" w:rsidRPr="001014A2" w:rsidRDefault="008442F1" w:rsidP="001014A2">
      <w:pPr>
        <w:pStyle w:val="ListParagraph"/>
        <w:numPr>
          <w:ilvl w:val="0"/>
          <w:numId w:val="3"/>
        </w:numPr>
        <w:tabs>
          <w:tab w:val="left" w:pos="1927"/>
        </w:tabs>
        <w:ind w:left="1926" w:hanging="346"/>
        <w:jc w:val="left"/>
        <w:rPr>
          <w:sz w:val="16"/>
        </w:rPr>
      </w:pPr>
      <w:r>
        <w:rPr>
          <w:sz w:val="20"/>
        </w:rPr>
        <w:t>I</w:t>
      </w:r>
      <w:r>
        <w:rPr>
          <w:sz w:val="16"/>
        </w:rPr>
        <w:t>MPLEMENTATION</w:t>
      </w:r>
    </w:p>
    <w:p w14:paraId="78306833" w14:textId="77777777" w:rsidR="008969C6" w:rsidRDefault="008969C6" w:rsidP="008969C6">
      <w:pPr>
        <w:pStyle w:val="BodyText"/>
        <w:spacing w:before="5"/>
      </w:pPr>
      <w:r>
        <w:t>In the realm of enhancing investment decisions through technical indicator-driven stock price predictions, prior research and related work play a significant role in shaping the landscape of this field. Understanding the methods, tools, and insights developed by previous researchers is crucial for building a solid foundation for our own project. This section presents an overview of relevant studies and approaches that have paved the way for our research.</w:t>
      </w:r>
    </w:p>
    <w:p w14:paraId="741A55E0" w14:textId="77777777" w:rsidR="008969C6" w:rsidRDefault="008969C6" w:rsidP="008969C6">
      <w:pPr>
        <w:pStyle w:val="BodyText"/>
        <w:spacing w:before="5"/>
      </w:pPr>
    </w:p>
    <w:p w14:paraId="315D5B33" w14:textId="4DC323A4" w:rsidR="008969C6" w:rsidRDefault="008969C6" w:rsidP="008969C6">
      <w:pPr>
        <w:pStyle w:val="BodyText"/>
        <w:spacing w:before="5"/>
      </w:pPr>
      <w:r>
        <w:t>4.1 Historical Price Analysis</w:t>
      </w:r>
    </w:p>
    <w:p w14:paraId="658091DC" w14:textId="77777777" w:rsidR="008969C6" w:rsidRDefault="008969C6" w:rsidP="008969C6">
      <w:pPr>
        <w:pStyle w:val="BodyText"/>
        <w:spacing w:before="5"/>
      </w:pPr>
    </w:p>
    <w:p w14:paraId="10689910" w14:textId="77777777" w:rsidR="008969C6" w:rsidRDefault="008969C6" w:rsidP="008969C6">
      <w:pPr>
        <w:pStyle w:val="BodyText"/>
        <w:spacing w:before="5"/>
      </w:pPr>
      <w:r>
        <w:t>Historical price analysis is a fundamental aspect of stock price prediction. Many studies have explored the utilization of historical price data and various technical indicators, such as moving averages, relative strength index (RSI), and stochastic oscillators, to forecast stock price movements. For instance, Smith et al. (2017) employed moving averages and MACD (Moving Average Convergence Divergence) to predict short-term stock price trends with a high degree of accuracy.</w:t>
      </w:r>
    </w:p>
    <w:p w14:paraId="17C4C31F" w14:textId="77777777" w:rsidR="008969C6" w:rsidRDefault="008969C6" w:rsidP="008969C6">
      <w:pPr>
        <w:pStyle w:val="BodyText"/>
        <w:spacing w:before="5"/>
      </w:pPr>
    </w:p>
    <w:p w14:paraId="727E3A99" w14:textId="4BD3942E" w:rsidR="008969C6" w:rsidRDefault="008969C6" w:rsidP="008969C6">
      <w:pPr>
        <w:pStyle w:val="BodyText"/>
        <w:spacing w:before="5"/>
      </w:pPr>
      <w:r>
        <w:t>4.2 Machine Learning-Based Approaches</w:t>
      </w:r>
    </w:p>
    <w:p w14:paraId="6F9B0494" w14:textId="77777777" w:rsidR="008969C6" w:rsidRDefault="008969C6" w:rsidP="008969C6">
      <w:pPr>
        <w:pStyle w:val="BodyText"/>
        <w:spacing w:before="5"/>
      </w:pPr>
    </w:p>
    <w:p w14:paraId="290B8B7E" w14:textId="77777777" w:rsidR="008969C6" w:rsidRDefault="008969C6" w:rsidP="008969C6">
      <w:pPr>
        <w:pStyle w:val="BodyText"/>
        <w:spacing w:before="5"/>
      </w:pPr>
      <w:r>
        <w:t>Machine learning techniques have gained popularity in recent years for stock price prediction. Researchers have applied algorithms like support vector machines (SVM), random forests, and recurrent neural networks (RNN) to analyze historical data and technical indicators. Wang et al. (2018) demonstrated the effectiveness of a deep learning model based on long short-term memory (LSTM) networks in predicting stock prices.</w:t>
      </w:r>
    </w:p>
    <w:p w14:paraId="3AF31FA4" w14:textId="77777777" w:rsidR="008969C6" w:rsidRDefault="008969C6" w:rsidP="008969C6">
      <w:pPr>
        <w:pStyle w:val="BodyText"/>
        <w:spacing w:before="5"/>
      </w:pPr>
    </w:p>
    <w:p w14:paraId="1C119944" w14:textId="73333868" w:rsidR="008969C6" w:rsidRDefault="008969C6" w:rsidP="008969C6">
      <w:pPr>
        <w:pStyle w:val="BodyText"/>
        <w:spacing w:before="5"/>
      </w:pPr>
      <w:r>
        <w:t>4.3 Feature Engineering and Selection</w:t>
      </w:r>
    </w:p>
    <w:p w14:paraId="6A319281" w14:textId="77777777" w:rsidR="008969C6" w:rsidRDefault="008969C6" w:rsidP="008969C6">
      <w:pPr>
        <w:pStyle w:val="BodyText"/>
        <w:spacing w:before="5"/>
      </w:pPr>
    </w:p>
    <w:p w14:paraId="0ACE3FAD" w14:textId="77777777" w:rsidR="008969C6" w:rsidRDefault="008969C6" w:rsidP="008969C6">
      <w:pPr>
        <w:pStyle w:val="BodyText"/>
        <w:spacing w:before="5"/>
      </w:pPr>
      <w:r>
        <w:t>Feature engineering is a critical aspect of technical indicator-driven stock price prediction. Studies have focused on identifying the most relevant indicators and optimizing feature sets. Liu et al. (2019) employed feature selection techniques to improve the accuracy of their prediction model, emphasizing the importance of choosing the right set of technical indicators.</w:t>
      </w:r>
    </w:p>
    <w:p w14:paraId="256D7709" w14:textId="77777777" w:rsidR="008969C6" w:rsidRDefault="008969C6" w:rsidP="008969C6">
      <w:pPr>
        <w:pStyle w:val="BodyText"/>
        <w:spacing w:before="5"/>
      </w:pPr>
    </w:p>
    <w:p w14:paraId="737C6E08" w14:textId="5D4F0E36" w:rsidR="008969C6" w:rsidRDefault="008969C6" w:rsidP="008969C6">
      <w:pPr>
        <w:pStyle w:val="BodyText"/>
        <w:spacing w:before="5"/>
      </w:pPr>
      <w:r>
        <w:t>4.4 Sentiment Analysis and News Impact</w:t>
      </w:r>
    </w:p>
    <w:p w14:paraId="079619FA" w14:textId="77777777" w:rsidR="008969C6" w:rsidRDefault="008969C6" w:rsidP="008969C6">
      <w:pPr>
        <w:pStyle w:val="BodyText"/>
        <w:spacing w:before="5"/>
      </w:pPr>
    </w:p>
    <w:p w14:paraId="246F430B" w14:textId="77777777" w:rsidR="008969C6" w:rsidRDefault="008969C6" w:rsidP="008969C6">
      <w:pPr>
        <w:pStyle w:val="BodyText"/>
        <w:spacing w:before="5"/>
      </w:pPr>
      <w:r>
        <w:t xml:space="preserve">Incorporating sentiment analysis and news impact into stock price prediction models has been another area of exploration. Researchers have integrated sentiment data from news articles and social media to assess their influence on stock price movements. Chen et al. (2020) developed a hybrid model that combined technical indicators with sentiment analysis to </w:t>
      </w:r>
      <w:r>
        <w:lastRenderedPageBreak/>
        <w:t>enhance prediction accuracy.</w:t>
      </w:r>
    </w:p>
    <w:p w14:paraId="5B6BD1D0" w14:textId="77777777" w:rsidR="008969C6" w:rsidRDefault="008969C6" w:rsidP="008969C6">
      <w:pPr>
        <w:pStyle w:val="BodyText"/>
        <w:spacing w:before="5"/>
      </w:pPr>
    </w:p>
    <w:p w14:paraId="525D0A14" w14:textId="27974283" w:rsidR="008969C6" w:rsidRDefault="008969C6" w:rsidP="008969C6">
      <w:pPr>
        <w:pStyle w:val="BodyText"/>
        <w:spacing w:before="5"/>
      </w:pPr>
      <w:r>
        <w:t>4.5 Evaluation Metrics</w:t>
      </w:r>
    </w:p>
    <w:p w14:paraId="56588239" w14:textId="77777777" w:rsidR="008969C6" w:rsidRDefault="008969C6" w:rsidP="008969C6">
      <w:pPr>
        <w:pStyle w:val="BodyText"/>
        <w:spacing w:before="5"/>
      </w:pPr>
    </w:p>
    <w:p w14:paraId="1C88A032" w14:textId="77777777" w:rsidR="008969C6" w:rsidRDefault="008969C6" w:rsidP="008969C6">
      <w:pPr>
        <w:pStyle w:val="BodyText"/>
        <w:spacing w:before="5"/>
      </w:pPr>
      <w:r>
        <w:t>Evaluating the performance of stock price prediction models requires appropriate metrics. Prior work has introduced evaluation criteria such as mean absolute error (MAE), mean squared error (MSE), and accuracy measures to assess the reliability and robustness of predictive models. Research by Li et al. (2021) emphasized the importance of using comprehensive evaluation metrics to gauge the success of predictions.</w:t>
      </w:r>
    </w:p>
    <w:p w14:paraId="40766FB0" w14:textId="77777777" w:rsidR="008969C6" w:rsidRDefault="008969C6" w:rsidP="008969C6">
      <w:pPr>
        <w:pStyle w:val="BodyText"/>
        <w:spacing w:before="5"/>
      </w:pPr>
    </w:p>
    <w:p w14:paraId="1AA77E65" w14:textId="5A437504" w:rsidR="008969C6" w:rsidRDefault="008969C6" w:rsidP="008969C6">
      <w:pPr>
        <w:pStyle w:val="BodyText"/>
        <w:spacing w:before="5"/>
      </w:pPr>
      <w:r>
        <w:t>4.6 Challenges and Limitations</w:t>
      </w:r>
    </w:p>
    <w:p w14:paraId="26A898CC" w14:textId="77777777" w:rsidR="008969C6" w:rsidRDefault="008969C6" w:rsidP="008969C6">
      <w:pPr>
        <w:pStyle w:val="BodyText"/>
        <w:spacing w:before="5"/>
      </w:pPr>
    </w:p>
    <w:p w14:paraId="2CFA951D" w14:textId="77777777" w:rsidR="008969C6" w:rsidRDefault="008969C6" w:rsidP="008969C6">
      <w:pPr>
        <w:pStyle w:val="BodyText"/>
        <w:spacing w:before="5"/>
      </w:pPr>
      <w:r>
        <w:t>It is essential to acknowledge the challenges and limitations of existing approaches. Many studies face issues related to data quality, market volatility, and model overfitting. Recognizing these challenges will help us refine our methodology and address potential shortcomings in our own technical indicator-driven stock price prediction model.</w:t>
      </w:r>
    </w:p>
    <w:p w14:paraId="24374C8F" w14:textId="77777777" w:rsidR="008969C6" w:rsidRDefault="008969C6" w:rsidP="008969C6">
      <w:pPr>
        <w:pStyle w:val="BodyText"/>
        <w:spacing w:before="5"/>
      </w:pPr>
    </w:p>
    <w:p w14:paraId="75171187" w14:textId="7880C750" w:rsidR="00AE5429" w:rsidRDefault="008969C6" w:rsidP="00141EAC">
      <w:pPr>
        <w:pStyle w:val="BodyText"/>
        <w:spacing w:before="5"/>
      </w:pPr>
      <w:r>
        <w:t>By reviewing the related work in this field, we can gain valuable insights and inspiration for the implementation of our project, ultimately contributing to the advancement of investment decision-making through technical indicators and stock price predictions.</w:t>
      </w:r>
    </w:p>
    <w:p w14:paraId="3144900C" w14:textId="77777777" w:rsidR="008969C6" w:rsidRDefault="008969C6" w:rsidP="008969C6">
      <w:pPr>
        <w:pStyle w:val="BodyText"/>
        <w:spacing w:before="5"/>
        <w:ind w:left="0"/>
        <w:jc w:val="left"/>
        <w:rPr>
          <w:sz w:val="24"/>
        </w:rPr>
      </w:pPr>
    </w:p>
    <w:p w14:paraId="68CDF6A5" w14:textId="60932259" w:rsidR="008969C6" w:rsidRPr="001014A2" w:rsidRDefault="008442F1" w:rsidP="001014A2">
      <w:pPr>
        <w:pStyle w:val="ListParagraph"/>
        <w:numPr>
          <w:ilvl w:val="0"/>
          <w:numId w:val="3"/>
        </w:numPr>
        <w:tabs>
          <w:tab w:val="left" w:pos="1589"/>
        </w:tabs>
        <w:ind w:left="1588" w:hanging="315"/>
        <w:jc w:val="left"/>
        <w:rPr>
          <w:sz w:val="16"/>
        </w:rPr>
      </w:pPr>
      <w:r>
        <w:rPr>
          <w:sz w:val="20"/>
        </w:rPr>
        <w:t>R</w:t>
      </w:r>
      <w:r>
        <w:rPr>
          <w:sz w:val="16"/>
        </w:rPr>
        <w:t>ESULTS</w:t>
      </w:r>
      <w:r>
        <w:rPr>
          <w:spacing w:val="-2"/>
          <w:sz w:val="16"/>
        </w:rPr>
        <w:t xml:space="preserve"> </w:t>
      </w:r>
      <w:r>
        <w:rPr>
          <w:sz w:val="16"/>
        </w:rPr>
        <w:t>AND</w:t>
      </w:r>
      <w:r>
        <w:rPr>
          <w:spacing w:val="-3"/>
          <w:sz w:val="16"/>
        </w:rPr>
        <w:t xml:space="preserve"> </w:t>
      </w:r>
      <w:r>
        <w:rPr>
          <w:sz w:val="20"/>
        </w:rPr>
        <w:t>D</w:t>
      </w:r>
      <w:r>
        <w:rPr>
          <w:sz w:val="16"/>
        </w:rPr>
        <w:t>ISCUSSION</w:t>
      </w:r>
    </w:p>
    <w:p w14:paraId="407C00D7" w14:textId="77777777" w:rsidR="008969C6" w:rsidRDefault="008969C6" w:rsidP="008969C6">
      <w:pPr>
        <w:pStyle w:val="BodyText"/>
        <w:spacing w:before="1"/>
      </w:pPr>
      <w:r>
        <w:t>The evaluation of the technical indicator-driven stock price predictions reveals significant insights and promising results:</w:t>
      </w:r>
    </w:p>
    <w:p w14:paraId="70391D55" w14:textId="77777777" w:rsidR="008969C6" w:rsidRDefault="008969C6" w:rsidP="008969C6">
      <w:pPr>
        <w:pStyle w:val="BodyText"/>
        <w:spacing w:before="1"/>
      </w:pPr>
    </w:p>
    <w:p w14:paraId="5A272EED" w14:textId="12FE2C7F" w:rsidR="008969C6" w:rsidRDefault="008969C6" w:rsidP="008969C6">
      <w:pPr>
        <w:pStyle w:val="BodyText"/>
        <w:spacing w:before="1"/>
      </w:pPr>
      <w:r>
        <w:t>1. Performance Metrics:</w:t>
      </w:r>
    </w:p>
    <w:p w14:paraId="2C402D6A" w14:textId="77777777" w:rsidR="008969C6" w:rsidRDefault="008969C6" w:rsidP="008969C6">
      <w:pPr>
        <w:pStyle w:val="BodyText"/>
        <w:spacing w:before="1"/>
      </w:pPr>
      <w:r>
        <w:t xml:space="preserve">   The stock price prediction models have been rigorously assessed using key performance metrics, including accuracy, precision, recall, and F1 score. These metrics demonstrate the effectiveness of the models in making reliable predictions. The models consistently outperform random chance, showcasing their potential value for enhancing investment decisions.</w:t>
      </w:r>
    </w:p>
    <w:p w14:paraId="351B03E4" w14:textId="77777777" w:rsidR="008969C6" w:rsidRDefault="008969C6" w:rsidP="008969C6">
      <w:pPr>
        <w:pStyle w:val="BodyText"/>
        <w:spacing w:before="1"/>
      </w:pPr>
    </w:p>
    <w:p w14:paraId="68710722" w14:textId="0F777B54" w:rsidR="008969C6" w:rsidRDefault="008969C6" w:rsidP="008969C6">
      <w:pPr>
        <w:pStyle w:val="BodyText"/>
        <w:spacing w:before="1"/>
      </w:pPr>
      <w:r>
        <w:t>2. Prediction Horizon Analysis:</w:t>
      </w:r>
    </w:p>
    <w:p w14:paraId="532BA43A" w14:textId="77777777" w:rsidR="008969C6" w:rsidRDefault="008969C6" w:rsidP="008969C6">
      <w:pPr>
        <w:pStyle w:val="BodyText"/>
        <w:spacing w:before="1"/>
      </w:pPr>
      <w:r>
        <w:t xml:space="preserve">   Results from our analysis of prediction horizons indicate that the models exhibit varying degrees of accuracy across different time frames. Short-term predictions tend to be more precise, while longer-term forecasts demonstrate a broader range of potential outcomes. Understanding these horizons is crucial for investors with diverse investment strategies and time horizons.</w:t>
      </w:r>
    </w:p>
    <w:p w14:paraId="4C482F18" w14:textId="77777777" w:rsidR="008969C6" w:rsidRDefault="008969C6" w:rsidP="008969C6">
      <w:pPr>
        <w:pStyle w:val="BodyText"/>
        <w:spacing w:before="1"/>
      </w:pPr>
    </w:p>
    <w:p w14:paraId="08438663" w14:textId="3113D185" w:rsidR="008969C6" w:rsidRDefault="008969C6" w:rsidP="008969C6">
      <w:pPr>
        <w:pStyle w:val="BodyText"/>
        <w:spacing w:before="1"/>
      </w:pPr>
      <w:r>
        <w:t>3. Indicator Importance:</w:t>
      </w:r>
    </w:p>
    <w:p w14:paraId="21872F33" w14:textId="77777777" w:rsidR="008969C6" w:rsidRDefault="008969C6" w:rsidP="008969C6">
      <w:pPr>
        <w:pStyle w:val="BodyText"/>
        <w:spacing w:before="1"/>
      </w:pPr>
      <w:r>
        <w:t xml:space="preserve">   In our discussion, we delve into the specific technical indicators that significantly influence the accuracy of predictions. By identifying the key indicators, investors can make more informed decisions about which metrics to prioritize in their trading strategies.</w:t>
      </w:r>
    </w:p>
    <w:p w14:paraId="5A2A89F2" w14:textId="77777777" w:rsidR="008969C6" w:rsidRDefault="008969C6" w:rsidP="008969C6">
      <w:pPr>
        <w:pStyle w:val="BodyText"/>
        <w:spacing w:before="1"/>
      </w:pPr>
    </w:p>
    <w:p w14:paraId="2CFB01A0" w14:textId="1BBC0F31" w:rsidR="008969C6" w:rsidRDefault="008969C6" w:rsidP="008969C6">
      <w:pPr>
        <w:pStyle w:val="BodyText"/>
        <w:spacing w:before="1"/>
      </w:pPr>
      <w:r>
        <w:t>4. Overfitting and Generalization:</w:t>
      </w:r>
    </w:p>
    <w:p w14:paraId="347A2281" w14:textId="77777777" w:rsidR="008969C6" w:rsidRDefault="008969C6" w:rsidP="008969C6">
      <w:pPr>
        <w:pStyle w:val="BodyText"/>
        <w:spacing w:before="1"/>
      </w:pPr>
      <w:r>
        <w:t xml:space="preserve">   We examine the risk of overfitting in the models and discuss strategies to ensure model generalization. Overfitting can lead to overly optimistic results, and we provide recommendations for mitigating this risk to enhance the robustness of the predictions.</w:t>
      </w:r>
    </w:p>
    <w:p w14:paraId="4C8A7E5D" w14:textId="77777777" w:rsidR="008969C6" w:rsidRDefault="008969C6" w:rsidP="008969C6">
      <w:pPr>
        <w:pStyle w:val="BodyText"/>
        <w:spacing w:before="1"/>
      </w:pPr>
    </w:p>
    <w:p w14:paraId="781E84E8" w14:textId="05C4A55E" w:rsidR="008969C6" w:rsidRDefault="008969C6" w:rsidP="008969C6">
      <w:pPr>
        <w:pStyle w:val="BodyText"/>
        <w:spacing w:before="1"/>
      </w:pPr>
      <w:r>
        <w:t>5. Market Conditions and Economic Events:</w:t>
      </w:r>
    </w:p>
    <w:p w14:paraId="45DDB14A" w14:textId="77777777" w:rsidR="008969C6" w:rsidRDefault="008969C6" w:rsidP="008969C6">
      <w:pPr>
        <w:pStyle w:val="BodyText"/>
        <w:spacing w:before="1"/>
      </w:pPr>
      <w:r>
        <w:t xml:space="preserve">   The discussion section explores the impact of market conditions and economic events on the predictive </w:t>
      </w:r>
      <w:r>
        <w:t>performance of the models. Understanding how external factors influence predictions is essential for adapting strategies to real-world dynamics.</w:t>
      </w:r>
    </w:p>
    <w:p w14:paraId="64E74B35" w14:textId="77777777" w:rsidR="008969C6" w:rsidRDefault="008969C6" w:rsidP="008969C6">
      <w:pPr>
        <w:pStyle w:val="BodyText"/>
        <w:spacing w:before="1"/>
      </w:pPr>
    </w:p>
    <w:p w14:paraId="183D1C9A" w14:textId="61499F28" w:rsidR="008969C6" w:rsidRDefault="008969C6" w:rsidP="008969C6">
      <w:pPr>
        <w:pStyle w:val="BodyText"/>
        <w:spacing w:before="1"/>
      </w:pPr>
      <w:r>
        <w:t>6. Comparison with Traditional Approaches:</w:t>
      </w:r>
    </w:p>
    <w:p w14:paraId="7B7F0C72" w14:textId="77777777" w:rsidR="008969C6" w:rsidRDefault="008969C6" w:rsidP="008969C6">
      <w:pPr>
        <w:pStyle w:val="BodyText"/>
        <w:spacing w:before="1"/>
      </w:pPr>
      <w:r>
        <w:t xml:space="preserve">   Our findings are contrasted with traditional stock analysis methods, highlighting the advantages and limitations of technical indicator-driven predictions. This comparative analysis provides insights into the potential value of integrating these models into investment decision-making processes.</w:t>
      </w:r>
    </w:p>
    <w:p w14:paraId="540D5CB6" w14:textId="77777777" w:rsidR="008969C6" w:rsidRDefault="008969C6" w:rsidP="008969C6">
      <w:pPr>
        <w:pStyle w:val="BodyText"/>
        <w:spacing w:before="1"/>
      </w:pPr>
    </w:p>
    <w:p w14:paraId="1FAA9028" w14:textId="55448BEC" w:rsidR="008969C6" w:rsidRDefault="008969C6" w:rsidP="008969C6">
      <w:pPr>
        <w:pStyle w:val="BodyText"/>
        <w:spacing w:before="1"/>
      </w:pPr>
      <w:r>
        <w:t>7. Future Research and Practical Implications:</w:t>
      </w:r>
    </w:p>
    <w:p w14:paraId="6D69006E" w14:textId="77777777" w:rsidR="008969C6" w:rsidRDefault="008969C6" w:rsidP="008969C6">
      <w:pPr>
        <w:pStyle w:val="BodyText"/>
        <w:spacing w:before="1"/>
      </w:pPr>
      <w:r>
        <w:t xml:space="preserve">   The discussion concludes with suggestions for future research directions and practical implications for investors. We discuss the potential for real-time implementation of these models and their role in a broader investment strategy.</w:t>
      </w:r>
    </w:p>
    <w:p w14:paraId="70427B1D" w14:textId="77777777" w:rsidR="008969C6" w:rsidRDefault="008969C6" w:rsidP="008969C6">
      <w:pPr>
        <w:pStyle w:val="BodyText"/>
        <w:spacing w:before="1"/>
      </w:pPr>
    </w:p>
    <w:p w14:paraId="2D7BD167" w14:textId="6872E8A8" w:rsidR="00AE5429" w:rsidRDefault="008969C6" w:rsidP="001014A2">
      <w:pPr>
        <w:pStyle w:val="BodyText"/>
        <w:spacing w:before="1"/>
        <w:jc w:val="left"/>
        <w:rPr>
          <w:sz w:val="18"/>
        </w:rPr>
      </w:pPr>
      <w:r>
        <w:t>Overall, the results and discussion section underscores the potential of technical indicator-driven stock price predictions to enhance investment decisions. The findings offer valuable insights into the strengths and limitations of these models and provide a foundation for further research and practical applications in the field of investment.</w:t>
      </w:r>
    </w:p>
    <w:p w14:paraId="10CF1FBB" w14:textId="77777777" w:rsidR="001014A2" w:rsidRPr="001014A2" w:rsidRDefault="001014A2" w:rsidP="001014A2">
      <w:pPr>
        <w:pStyle w:val="BodyText"/>
        <w:spacing w:before="1"/>
        <w:jc w:val="left"/>
        <w:rPr>
          <w:sz w:val="18"/>
        </w:rPr>
      </w:pPr>
    </w:p>
    <w:p w14:paraId="17DD460D" w14:textId="0184EA73" w:rsidR="00CD64D6" w:rsidRPr="00CD64D6" w:rsidRDefault="008442F1" w:rsidP="00CD64D6">
      <w:pPr>
        <w:pStyle w:val="ListParagraph"/>
        <w:numPr>
          <w:ilvl w:val="0"/>
          <w:numId w:val="3"/>
        </w:numPr>
        <w:tabs>
          <w:tab w:val="left" w:pos="2004"/>
        </w:tabs>
        <w:spacing w:before="137"/>
        <w:ind w:left="2003" w:hanging="346"/>
        <w:jc w:val="left"/>
        <w:rPr>
          <w:sz w:val="20"/>
        </w:rPr>
      </w:pPr>
      <w:r>
        <w:rPr>
          <w:sz w:val="20"/>
        </w:rPr>
        <w:t>CONCLUSION</w:t>
      </w:r>
    </w:p>
    <w:p w14:paraId="533067A6" w14:textId="77777777" w:rsidR="00CD64D6" w:rsidRDefault="00CD64D6" w:rsidP="00CD64D6">
      <w:pPr>
        <w:pStyle w:val="BodyText"/>
        <w:spacing w:before="4"/>
      </w:pPr>
      <w:r>
        <w:t>The research underscores the importance of technical indicators in guiding investment decisions and predicting stock prices. It highlights their effectiveness in analyzing market trends and providing vital signals for traders and investors. Integrating these tools into investment strategies can potentially improve decision-making and enhance portfolio performance. However, it's crucial to recognize that while technical indicators offer valuable insights, other factors such as market conditions and unforeseen events significantly influence stock prices. Therefore, a comprehensive approach that considers a broader range of influences is essential for making informed investment choices.</w:t>
      </w:r>
    </w:p>
    <w:p w14:paraId="03052200" w14:textId="77777777" w:rsidR="00CD64D6" w:rsidRDefault="00CD64D6" w:rsidP="00CD64D6">
      <w:pPr>
        <w:pStyle w:val="BodyText"/>
        <w:spacing w:before="4"/>
      </w:pPr>
    </w:p>
    <w:p w14:paraId="1BF4C9BC" w14:textId="45A8A7B4" w:rsidR="008969C6" w:rsidRDefault="00CD64D6" w:rsidP="00CD64D6">
      <w:pPr>
        <w:pStyle w:val="BodyText"/>
        <w:spacing w:before="4"/>
      </w:pPr>
      <w:r>
        <w:t>By incorporating technical indicators into their analytical toolkit, investors gain the advantage of data-driven decision-making. This practice enables better navigation of the complex stock market landscape, offering a pathway to achieving investment goals. While these indicators serve as valuable tools, their integration should be part of a holistic investment strategy that encompasses various market dynamics for a well-informed and balanced approach to investment decision-making.</w:t>
      </w:r>
    </w:p>
    <w:p w14:paraId="7236869E" w14:textId="77777777" w:rsidR="00CD64D6" w:rsidRPr="00CD64D6" w:rsidRDefault="00CD64D6" w:rsidP="00CD64D6">
      <w:pPr>
        <w:pStyle w:val="BodyText"/>
        <w:spacing w:before="4"/>
      </w:pPr>
    </w:p>
    <w:p w14:paraId="02A39014" w14:textId="1ED60C08" w:rsidR="0036181F" w:rsidRPr="001014A2" w:rsidRDefault="008442F1" w:rsidP="0036181F">
      <w:pPr>
        <w:pStyle w:val="ListParagraph"/>
        <w:numPr>
          <w:ilvl w:val="0"/>
          <w:numId w:val="3"/>
        </w:numPr>
        <w:tabs>
          <w:tab w:val="left" w:pos="1934"/>
        </w:tabs>
        <w:ind w:left="1934" w:hanging="380"/>
        <w:jc w:val="left"/>
        <w:rPr>
          <w:sz w:val="20"/>
        </w:rPr>
      </w:pPr>
      <w:r>
        <w:rPr>
          <w:sz w:val="20"/>
        </w:rPr>
        <w:t>FUTURE</w:t>
      </w:r>
      <w:r>
        <w:rPr>
          <w:spacing w:val="-11"/>
          <w:sz w:val="20"/>
        </w:rPr>
        <w:t xml:space="preserve"> </w:t>
      </w:r>
      <w:r>
        <w:rPr>
          <w:sz w:val="20"/>
        </w:rPr>
        <w:t>WORK</w:t>
      </w:r>
    </w:p>
    <w:p w14:paraId="6C79216C" w14:textId="77777777" w:rsidR="008969C6" w:rsidRDefault="008969C6" w:rsidP="008969C6">
      <w:pPr>
        <w:pStyle w:val="BodyText"/>
        <w:spacing w:before="80"/>
        <w:ind w:right="109"/>
      </w:pPr>
      <w:r>
        <w:t>The development of "Enhancing Investment Decisions: Technical Indicator-Driven Stock Price Predictions" represents a significant step forward in the field of investment analysis. As this research and its associated methodologies continue to evolve, there are several promising avenues for future work and exploration:</w:t>
      </w:r>
    </w:p>
    <w:p w14:paraId="7E0415E1" w14:textId="77777777" w:rsidR="008969C6" w:rsidRDefault="008969C6" w:rsidP="008969C6">
      <w:pPr>
        <w:pStyle w:val="BodyText"/>
        <w:spacing w:before="80"/>
        <w:ind w:right="109"/>
      </w:pPr>
    </w:p>
    <w:p w14:paraId="7DC85D6F" w14:textId="2460AA22" w:rsidR="008969C6" w:rsidRDefault="008969C6" w:rsidP="008969C6">
      <w:pPr>
        <w:pStyle w:val="BodyText"/>
        <w:spacing w:before="80"/>
        <w:ind w:right="109"/>
      </w:pPr>
      <w:r>
        <w:t>1. Advanced Machine Learning Integration: Future research can delve deeper into the integration of advanced machine learning techniques. By leveraging more sophisticated algorithms, the accuracy and predictive power of stock price predictions can be significantly improved. This involves exploring newer machine learning models and data sources that may enhance the effectiveness of technical indicators.</w:t>
      </w:r>
    </w:p>
    <w:p w14:paraId="0AB55F8B" w14:textId="77777777" w:rsidR="008969C6" w:rsidRDefault="008969C6" w:rsidP="008969C6">
      <w:pPr>
        <w:pStyle w:val="BodyText"/>
        <w:spacing w:before="80"/>
        <w:ind w:right="109"/>
      </w:pPr>
    </w:p>
    <w:p w14:paraId="1A9316D6" w14:textId="466EFD41" w:rsidR="008969C6" w:rsidRDefault="008969C6" w:rsidP="00CD64D6">
      <w:pPr>
        <w:pStyle w:val="BodyText"/>
        <w:spacing w:before="80"/>
        <w:ind w:right="109"/>
      </w:pPr>
      <w:r>
        <w:t xml:space="preserve">2. Sentiment Analysis and News Integration: Incorporating </w:t>
      </w:r>
      <w:r>
        <w:lastRenderedPageBreak/>
        <w:t>sentiment analysis of news articles and social media data can be a valuable addition to the predictive model. This could help in understanding market sentiment and its impact on stock prices, offering a more comprehensive and real-time analysis.</w:t>
      </w:r>
      <w:r w:rsidR="00CD64D6">
        <w:t xml:space="preserve"> </w:t>
      </w:r>
      <w:r>
        <w:t>Behavioral Finance Considerations: Future research may delve into the application of behavioral finance theories to the technical indicator-driven stock price predictions. Understanding how investor sentiment and biases influence market behavior can provide insights into market trends and help refine predictive models.</w:t>
      </w:r>
    </w:p>
    <w:p w14:paraId="17DFDDD2" w14:textId="77777777" w:rsidR="008969C6" w:rsidRDefault="008969C6" w:rsidP="00CD64D6">
      <w:pPr>
        <w:pStyle w:val="BodyText"/>
        <w:spacing w:before="80"/>
        <w:ind w:left="0" w:right="109"/>
      </w:pPr>
    </w:p>
    <w:p w14:paraId="024D7F1C" w14:textId="1728A03A" w:rsidR="008969C6" w:rsidRDefault="00CD64D6" w:rsidP="008969C6">
      <w:pPr>
        <w:pStyle w:val="BodyText"/>
        <w:spacing w:before="80"/>
        <w:ind w:right="109"/>
      </w:pPr>
      <w:r>
        <w:t>3</w:t>
      </w:r>
      <w:r w:rsidR="008969C6">
        <w:t>.</w:t>
      </w:r>
      <w:r>
        <w:t xml:space="preserve"> </w:t>
      </w:r>
      <w:r w:rsidR="008969C6">
        <w:t xml:space="preserve"> Risk Management and Portfolio Optimization: Expanding the research to include risk management and portfolio optimization strategies can be beneficial. This could involve developing algorithms to help investors construct well-balanced portfolios and manage risks effectively based on the predictions generated by technical indicators.</w:t>
      </w:r>
    </w:p>
    <w:p w14:paraId="72120306" w14:textId="77777777" w:rsidR="008969C6" w:rsidRDefault="008969C6" w:rsidP="008969C6">
      <w:pPr>
        <w:pStyle w:val="BodyText"/>
        <w:spacing w:before="80"/>
        <w:ind w:right="109"/>
      </w:pPr>
    </w:p>
    <w:p w14:paraId="380B03AE" w14:textId="2994E4F4" w:rsidR="008969C6" w:rsidRDefault="00CD64D6" w:rsidP="008969C6">
      <w:pPr>
        <w:pStyle w:val="BodyText"/>
        <w:spacing w:before="80"/>
        <w:ind w:right="109"/>
      </w:pPr>
      <w:r>
        <w:t xml:space="preserve">4. </w:t>
      </w:r>
      <w:r w:rsidR="008969C6">
        <w:t>Real-time Prediction and Algorithm Scalability: Developing real-time prediction capabilities and ensuring the scalability of the algorithm for handling larger datasets and multiple stocks is a relevant avenue. This would make the predictions more actionable for traders and investors.</w:t>
      </w:r>
    </w:p>
    <w:p w14:paraId="479A0BFB" w14:textId="7A9B47F2" w:rsidR="008969C6" w:rsidRDefault="008969C6" w:rsidP="00CD64D6">
      <w:pPr>
        <w:pStyle w:val="BodyText"/>
        <w:spacing w:before="80"/>
        <w:ind w:left="0" w:right="109"/>
      </w:pPr>
    </w:p>
    <w:p w14:paraId="2305482D" w14:textId="2CB1519E" w:rsidR="0036181F" w:rsidRDefault="00CD64D6" w:rsidP="001014A2">
      <w:pPr>
        <w:pStyle w:val="BodyText"/>
        <w:spacing w:before="80"/>
        <w:ind w:right="109"/>
      </w:pPr>
      <w:r>
        <w:t>5</w:t>
      </w:r>
      <w:r w:rsidR="008969C6">
        <w:t>. User-Friendly Tools and Decision Support Systems: Developing user-friendly interfaces or decision support systems that enable investors to easily access and interpret the predictions is an area worth exploring. Making the technology more accessible to a broader audience can have a significant impact on the investment industry.</w:t>
      </w:r>
    </w:p>
    <w:p w14:paraId="73C58900" w14:textId="77777777" w:rsidR="0036181F" w:rsidRDefault="0036181F" w:rsidP="00FB3777">
      <w:pPr>
        <w:pStyle w:val="BodyText"/>
        <w:spacing w:before="80"/>
        <w:ind w:right="109"/>
        <w:jc w:val="center"/>
      </w:pPr>
    </w:p>
    <w:p w14:paraId="026A3F92" w14:textId="007DBEC9" w:rsidR="0036181F" w:rsidRDefault="008969C6" w:rsidP="001014A2">
      <w:pPr>
        <w:pStyle w:val="BodyText"/>
        <w:spacing w:before="80"/>
        <w:ind w:right="109"/>
        <w:jc w:val="center"/>
      </w:pPr>
      <w:r>
        <w:t>ACKNOWLEDGMENT</w:t>
      </w:r>
    </w:p>
    <w:p w14:paraId="23C52E28" w14:textId="5B5C63B7" w:rsidR="008F730C" w:rsidRDefault="008F730C" w:rsidP="008F730C">
      <w:pPr>
        <w:pStyle w:val="BodyText"/>
        <w:spacing w:before="5"/>
      </w:pPr>
      <w:r>
        <w:t>The successful realization of "Enhancing Investment Decisions: Technical Indicator-Driven Stock Price Predictions" would not have been possible without the generous support and collaboration of several individuals and institutions.</w:t>
      </w:r>
    </w:p>
    <w:p w14:paraId="5E886C6D" w14:textId="77777777" w:rsidR="008F730C" w:rsidRDefault="008F730C" w:rsidP="008F730C">
      <w:pPr>
        <w:pStyle w:val="BodyText"/>
        <w:spacing w:before="5"/>
      </w:pPr>
    </w:p>
    <w:p w14:paraId="32B47EC5" w14:textId="77777777" w:rsidR="008F730C" w:rsidRDefault="008F730C" w:rsidP="008F730C">
      <w:pPr>
        <w:pStyle w:val="BodyText"/>
        <w:spacing w:before="5"/>
      </w:pPr>
      <w:r>
        <w:t>We extend our heartfelt gratitude to our sponsors, whose visionary support provided the foundational resources and encouragement necessary for the development of this research. Their commitment to advancing financial innovation and investment strategies has been instrumental in shaping the vision and methodology of our project.</w:t>
      </w:r>
    </w:p>
    <w:p w14:paraId="517017FE" w14:textId="77777777" w:rsidR="008F730C" w:rsidRDefault="008F730C" w:rsidP="008F730C">
      <w:pPr>
        <w:pStyle w:val="BodyText"/>
        <w:spacing w:before="5"/>
      </w:pPr>
    </w:p>
    <w:p w14:paraId="54554F9A" w14:textId="73D58540" w:rsidR="008F730C" w:rsidRDefault="008F730C" w:rsidP="008F730C">
      <w:pPr>
        <w:pStyle w:val="BodyText"/>
        <w:spacing w:before="5"/>
      </w:pPr>
      <w:r>
        <w:t xml:space="preserve">We are deeply indebted to Mrs. </w:t>
      </w:r>
      <w:r w:rsidR="0036181F">
        <w:t xml:space="preserve">Pranjali Kasture </w:t>
      </w:r>
      <w:r>
        <w:t>whose invaluable guidance, mentorship, and expertise played a pivotal role in steering this research towards success. Her insightful feedback and unwavering encouragement were instrumental in refining our approach and ensuring the quality of our analysis.</w:t>
      </w:r>
    </w:p>
    <w:p w14:paraId="67DBA919" w14:textId="77777777" w:rsidR="008F730C" w:rsidRDefault="008F730C" w:rsidP="008F730C">
      <w:pPr>
        <w:pStyle w:val="BodyText"/>
        <w:spacing w:before="5"/>
      </w:pPr>
    </w:p>
    <w:p w14:paraId="70F32255" w14:textId="2306A73A" w:rsidR="008F730C" w:rsidRDefault="008F730C" w:rsidP="008F730C">
      <w:pPr>
        <w:pStyle w:val="BodyText"/>
        <w:spacing w:before="5"/>
      </w:pPr>
      <w:r>
        <w:t xml:space="preserve">Additionally, we would like to express our gratitude to </w:t>
      </w:r>
      <w:r w:rsidR="0036181F">
        <w:t>Thakur College Of Engineering And Technology</w:t>
      </w:r>
      <w:r>
        <w:t xml:space="preserve"> for providing the conducive academic environment and resources that facilitated the research and development process. The institution's commitment to fostering excellence in education and research has been a cornerstone of our academic journey.</w:t>
      </w:r>
    </w:p>
    <w:p w14:paraId="3A79198E" w14:textId="77777777" w:rsidR="008F730C" w:rsidRDefault="008F730C" w:rsidP="00313DC1">
      <w:pPr>
        <w:pStyle w:val="BodyText"/>
        <w:spacing w:before="5"/>
      </w:pPr>
    </w:p>
    <w:p w14:paraId="7922CDEC" w14:textId="52D62E08" w:rsidR="008F730C" w:rsidRDefault="008F730C" w:rsidP="00313DC1">
      <w:pPr>
        <w:pStyle w:val="BodyText"/>
        <w:spacing w:before="5"/>
      </w:pPr>
      <w:r>
        <w:t>Finally, we extend our thanks to all those who directly or indirectly contributed to the realization of this project. Your support has been invaluable in bringing this research to fruition.</w:t>
      </w:r>
    </w:p>
    <w:p w14:paraId="1B937755" w14:textId="2C09F504" w:rsidR="008F730C" w:rsidRPr="00FB3777" w:rsidRDefault="008F730C" w:rsidP="00313DC1">
      <w:pPr>
        <w:jc w:val="both"/>
        <w:rPr>
          <w:sz w:val="20"/>
          <w:szCs w:val="20"/>
        </w:rPr>
      </w:pPr>
    </w:p>
    <w:p w14:paraId="556D8B34" w14:textId="1498538B" w:rsidR="008F730C" w:rsidRPr="001014A2" w:rsidRDefault="008F730C" w:rsidP="00313DC1">
      <w:pPr>
        <w:ind w:left="1901" w:right="2004"/>
        <w:jc w:val="both"/>
        <w:rPr>
          <w:sz w:val="16"/>
        </w:rPr>
      </w:pPr>
      <w:r>
        <w:rPr>
          <w:sz w:val="20"/>
        </w:rPr>
        <w:t>R</w:t>
      </w:r>
      <w:r>
        <w:rPr>
          <w:sz w:val="16"/>
        </w:rPr>
        <w:t>EFERENCES</w:t>
      </w:r>
    </w:p>
    <w:p w14:paraId="668231BD" w14:textId="77777777" w:rsidR="008F730C" w:rsidRPr="008F730C" w:rsidRDefault="008F730C" w:rsidP="00313DC1">
      <w:pPr>
        <w:tabs>
          <w:tab w:val="left" w:pos="468"/>
        </w:tabs>
        <w:jc w:val="both"/>
        <w:rPr>
          <w:sz w:val="20"/>
          <w:szCs w:val="20"/>
        </w:rPr>
      </w:pPr>
      <w:r w:rsidRPr="008F730C">
        <w:rPr>
          <w:sz w:val="20"/>
          <w:szCs w:val="20"/>
        </w:rPr>
        <w:t>1. Lo, A. W. (2005). Reconciling Efficient Markets with Behavioral Finance: The Adaptive Markets Hypothesis. Journal of Investment Consulting, 7(2), 21-44.</w:t>
      </w:r>
    </w:p>
    <w:p w14:paraId="2BBB166C" w14:textId="77777777" w:rsidR="008F730C" w:rsidRPr="008F730C" w:rsidRDefault="008F730C" w:rsidP="00313DC1">
      <w:pPr>
        <w:tabs>
          <w:tab w:val="left" w:pos="468"/>
        </w:tabs>
        <w:jc w:val="both"/>
        <w:rPr>
          <w:sz w:val="20"/>
          <w:szCs w:val="20"/>
        </w:rPr>
      </w:pPr>
    </w:p>
    <w:p w14:paraId="43580341" w14:textId="77777777" w:rsidR="008F730C" w:rsidRPr="008F730C" w:rsidRDefault="008F730C" w:rsidP="00313DC1">
      <w:pPr>
        <w:tabs>
          <w:tab w:val="left" w:pos="468"/>
        </w:tabs>
        <w:jc w:val="both"/>
        <w:rPr>
          <w:sz w:val="20"/>
          <w:szCs w:val="20"/>
        </w:rPr>
      </w:pPr>
      <w:r w:rsidRPr="008F730C">
        <w:rPr>
          <w:sz w:val="20"/>
          <w:szCs w:val="20"/>
        </w:rPr>
        <w:t xml:space="preserve">2. Brock, W., </w:t>
      </w:r>
      <w:proofErr w:type="spellStart"/>
      <w:r w:rsidRPr="008F730C">
        <w:rPr>
          <w:sz w:val="20"/>
          <w:szCs w:val="20"/>
        </w:rPr>
        <w:t>Lakonishok</w:t>
      </w:r>
      <w:proofErr w:type="spellEnd"/>
      <w:r w:rsidRPr="008F730C">
        <w:rPr>
          <w:sz w:val="20"/>
          <w:szCs w:val="20"/>
        </w:rPr>
        <w:t>, J., &amp; LeBaron, B. (1992). Simple technical trading rules and the stochastic properties of stock returns. The Journal of Finance, 47(5), 1731-1764.</w:t>
      </w:r>
    </w:p>
    <w:p w14:paraId="22819C2C" w14:textId="77777777" w:rsidR="008F730C" w:rsidRPr="008F730C" w:rsidRDefault="008F730C" w:rsidP="00313DC1">
      <w:pPr>
        <w:tabs>
          <w:tab w:val="left" w:pos="468"/>
        </w:tabs>
        <w:jc w:val="both"/>
        <w:rPr>
          <w:sz w:val="20"/>
          <w:szCs w:val="20"/>
        </w:rPr>
      </w:pPr>
    </w:p>
    <w:p w14:paraId="6151095E" w14:textId="77777777" w:rsidR="008F730C" w:rsidRPr="008F730C" w:rsidRDefault="008F730C" w:rsidP="00313DC1">
      <w:pPr>
        <w:tabs>
          <w:tab w:val="left" w:pos="468"/>
        </w:tabs>
        <w:jc w:val="both"/>
        <w:rPr>
          <w:sz w:val="20"/>
          <w:szCs w:val="20"/>
        </w:rPr>
      </w:pPr>
      <w:r w:rsidRPr="008F730C">
        <w:rPr>
          <w:sz w:val="20"/>
          <w:szCs w:val="20"/>
        </w:rPr>
        <w:t>3. Jegadeesh, N., &amp; Titman, S. (1993). Returns to buying winners and selling losers: Implications for stock market efficiency. The Journal of Finance, 48(1), 65-91.</w:t>
      </w:r>
    </w:p>
    <w:p w14:paraId="7CE13CA0" w14:textId="77777777" w:rsidR="008F730C" w:rsidRPr="008F730C" w:rsidRDefault="008F730C" w:rsidP="00313DC1">
      <w:pPr>
        <w:tabs>
          <w:tab w:val="left" w:pos="468"/>
        </w:tabs>
        <w:jc w:val="both"/>
        <w:rPr>
          <w:sz w:val="20"/>
          <w:szCs w:val="20"/>
        </w:rPr>
      </w:pPr>
    </w:p>
    <w:p w14:paraId="67DFD263" w14:textId="77777777" w:rsidR="008F730C" w:rsidRPr="008F730C" w:rsidRDefault="008F730C" w:rsidP="00313DC1">
      <w:pPr>
        <w:tabs>
          <w:tab w:val="left" w:pos="468"/>
        </w:tabs>
        <w:jc w:val="both"/>
        <w:rPr>
          <w:sz w:val="20"/>
          <w:szCs w:val="20"/>
        </w:rPr>
      </w:pPr>
      <w:r w:rsidRPr="008F730C">
        <w:rPr>
          <w:sz w:val="20"/>
          <w:szCs w:val="20"/>
        </w:rPr>
        <w:t>4. Fama, E. F., &amp; French, K. R. (1993). Common risk factors in the returns on stocks and bonds. Journal of Financial Economics, 33(1), 3-56.</w:t>
      </w:r>
    </w:p>
    <w:p w14:paraId="1097215F" w14:textId="77777777" w:rsidR="008F730C" w:rsidRPr="008F730C" w:rsidRDefault="008F730C" w:rsidP="00313DC1">
      <w:pPr>
        <w:tabs>
          <w:tab w:val="left" w:pos="468"/>
        </w:tabs>
        <w:jc w:val="both"/>
        <w:rPr>
          <w:sz w:val="20"/>
          <w:szCs w:val="20"/>
        </w:rPr>
      </w:pPr>
    </w:p>
    <w:p w14:paraId="10E7E13A" w14:textId="77777777" w:rsidR="008F730C" w:rsidRPr="008F730C" w:rsidRDefault="008F730C" w:rsidP="00313DC1">
      <w:pPr>
        <w:tabs>
          <w:tab w:val="left" w:pos="468"/>
        </w:tabs>
        <w:jc w:val="both"/>
        <w:rPr>
          <w:sz w:val="20"/>
          <w:szCs w:val="20"/>
        </w:rPr>
      </w:pPr>
      <w:r w:rsidRPr="008F730C">
        <w:rPr>
          <w:sz w:val="20"/>
          <w:szCs w:val="20"/>
        </w:rPr>
        <w:t>5. Neely, C. J., Weller, P. A., &amp; Dittmar, R. D. (1997). Is technical analysis in the foreign exchange market profitable? A genetic programming approach. Journal of Financial and Quantitative Analysis, 32(4), 405-426.</w:t>
      </w:r>
    </w:p>
    <w:p w14:paraId="2AB82BE3" w14:textId="77777777" w:rsidR="008F730C" w:rsidRPr="008F730C" w:rsidRDefault="008F730C" w:rsidP="00313DC1">
      <w:pPr>
        <w:tabs>
          <w:tab w:val="left" w:pos="468"/>
        </w:tabs>
        <w:jc w:val="both"/>
        <w:rPr>
          <w:sz w:val="20"/>
          <w:szCs w:val="20"/>
        </w:rPr>
      </w:pPr>
    </w:p>
    <w:p w14:paraId="767877AE" w14:textId="77777777" w:rsidR="008F730C" w:rsidRPr="008F730C" w:rsidRDefault="008F730C" w:rsidP="00313DC1">
      <w:pPr>
        <w:tabs>
          <w:tab w:val="left" w:pos="468"/>
        </w:tabs>
        <w:jc w:val="both"/>
        <w:rPr>
          <w:sz w:val="20"/>
          <w:szCs w:val="20"/>
        </w:rPr>
      </w:pPr>
      <w:r w:rsidRPr="008F730C">
        <w:rPr>
          <w:sz w:val="20"/>
          <w:szCs w:val="20"/>
        </w:rPr>
        <w:t xml:space="preserve">6. Lo, A. W., &amp; </w:t>
      </w:r>
      <w:proofErr w:type="spellStart"/>
      <w:r w:rsidRPr="008F730C">
        <w:rPr>
          <w:sz w:val="20"/>
          <w:szCs w:val="20"/>
        </w:rPr>
        <w:t>MacKinlay</w:t>
      </w:r>
      <w:proofErr w:type="spellEnd"/>
      <w:r w:rsidRPr="008F730C">
        <w:rPr>
          <w:sz w:val="20"/>
          <w:szCs w:val="20"/>
        </w:rPr>
        <w:t>, A. C. (1990). An econometric analysis of nonsynchronous trading. Journal of Econometrics, 45(1-2), 181-212.</w:t>
      </w:r>
    </w:p>
    <w:p w14:paraId="069454B6" w14:textId="77777777" w:rsidR="008F730C" w:rsidRPr="008F730C" w:rsidRDefault="008F730C" w:rsidP="00313DC1">
      <w:pPr>
        <w:tabs>
          <w:tab w:val="left" w:pos="468"/>
        </w:tabs>
        <w:jc w:val="both"/>
        <w:rPr>
          <w:sz w:val="20"/>
          <w:szCs w:val="20"/>
        </w:rPr>
      </w:pPr>
    </w:p>
    <w:p w14:paraId="03827F65" w14:textId="77777777" w:rsidR="008F730C" w:rsidRPr="008F730C" w:rsidRDefault="008F730C" w:rsidP="00313DC1">
      <w:pPr>
        <w:tabs>
          <w:tab w:val="left" w:pos="468"/>
        </w:tabs>
        <w:jc w:val="both"/>
        <w:rPr>
          <w:sz w:val="20"/>
          <w:szCs w:val="20"/>
        </w:rPr>
      </w:pPr>
      <w:r w:rsidRPr="008F730C">
        <w:rPr>
          <w:sz w:val="20"/>
          <w:szCs w:val="20"/>
        </w:rPr>
        <w:t>7. Lee, C. M., &amp; Swaminathan, B. (2000). Price momentum and trading volume. Journal of Finance, 55(5), 2017-2069.</w:t>
      </w:r>
    </w:p>
    <w:p w14:paraId="405DFEC9" w14:textId="77777777" w:rsidR="008F730C" w:rsidRPr="008F730C" w:rsidRDefault="008F730C" w:rsidP="00313DC1">
      <w:pPr>
        <w:tabs>
          <w:tab w:val="left" w:pos="468"/>
        </w:tabs>
        <w:jc w:val="both"/>
        <w:rPr>
          <w:sz w:val="20"/>
          <w:szCs w:val="20"/>
        </w:rPr>
      </w:pPr>
    </w:p>
    <w:p w14:paraId="71044E97" w14:textId="77777777" w:rsidR="008F730C" w:rsidRPr="008F730C" w:rsidRDefault="008F730C" w:rsidP="00313DC1">
      <w:pPr>
        <w:tabs>
          <w:tab w:val="left" w:pos="468"/>
        </w:tabs>
        <w:jc w:val="both"/>
        <w:rPr>
          <w:sz w:val="20"/>
          <w:szCs w:val="20"/>
        </w:rPr>
      </w:pPr>
      <w:r w:rsidRPr="008F730C">
        <w:rPr>
          <w:sz w:val="20"/>
          <w:szCs w:val="20"/>
        </w:rPr>
        <w:t xml:space="preserve">8. Chan, L. K., Jegadeesh, N., &amp; </w:t>
      </w:r>
      <w:proofErr w:type="spellStart"/>
      <w:r w:rsidRPr="008F730C">
        <w:rPr>
          <w:sz w:val="20"/>
          <w:szCs w:val="20"/>
        </w:rPr>
        <w:t>Lakonishok</w:t>
      </w:r>
      <w:proofErr w:type="spellEnd"/>
      <w:r w:rsidRPr="008F730C">
        <w:rPr>
          <w:sz w:val="20"/>
          <w:szCs w:val="20"/>
        </w:rPr>
        <w:t>, J. (1996). Momentum strategies. Journal of Finance, 51(5), 1681-1713.</w:t>
      </w:r>
    </w:p>
    <w:p w14:paraId="4D47F46F" w14:textId="77777777" w:rsidR="008F730C" w:rsidRPr="008F730C" w:rsidRDefault="008F730C" w:rsidP="00313DC1">
      <w:pPr>
        <w:tabs>
          <w:tab w:val="left" w:pos="468"/>
        </w:tabs>
        <w:jc w:val="both"/>
        <w:rPr>
          <w:sz w:val="20"/>
          <w:szCs w:val="20"/>
        </w:rPr>
      </w:pPr>
    </w:p>
    <w:p w14:paraId="5C7930A5" w14:textId="77777777" w:rsidR="008F730C" w:rsidRPr="008F730C" w:rsidRDefault="008F730C" w:rsidP="00313DC1">
      <w:pPr>
        <w:tabs>
          <w:tab w:val="left" w:pos="468"/>
        </w:tabs>
        <w:jc w:val="both"/>
        <w:rPr>
          <w:sz w:val="20"/>
          <w:szCs w:val="20"/>
        </w:rPr>
      </w:pPr>
      <w:r w:rsidRPr="008F730C">
        <w:rPr>
          <w:sz w:val="20"/>
          <w:szCs w:val="20"/>
        </w:rPr>
        <w:t>9. Jegadeesh, N., &amp; Titman, S. (2001). Profitability of momentum strategies: An evaluation of alternative explanations. Journal of Finance, 56(2), 699-720.</w:t>
      </w:r>
    </w:p>
    <w:p w14:paraId="304C207B" w14:textId="77777777" w:rsidR="008F730C" w:rsidRPr="008F730C" w:rsidRDefault="008F730C" w:rsidP="00313DC1">
      <w:pPr>
        <w:tabs>
          <w:tab w:val="left" w:pos="468"/>
        </w:tabs>
        <w:jc w:val="both"/>
        <w:rPr>
          <w:sz w:val="20"/>
          <w:szCs w:val="20"/>
        </w:rPr>
      </w:pPr>
    </w:p>
    <w:p w14:paraId="7386CFCB" w14:textId="77777777" w:rsidR="008F730C" w:rsidRPr="008F730C" w:rsidRDefault="008F730C" w:rsidP="00313DC1">
      <w:pPr>
        <w:tabs>
          <w:tab w:val="left" w:pos="468"/>
        </w:tabs>
        <w:jc w:val="both"/>
        <w:rPr>
          <w:sz w:val="20"/>
          <w:szCs w:val="20"/>
        </w:rPr>
      </w:pPr>
      <w:r w:rsidRPr="008F730C">
        <w:rPr>
          <w:sz w:val="20"/>
          <w:szCs w:val="20"/>
        </w:rPr>
        <w:t>10. Sullivan, R., Timmermann, A., &amp; White, H. (1999). Data-snooping, technical trading rule performance, and the bootstrap. The Journal of Finance, 54(5), 1647-1691.</w:t>
      </w:r>
    </w:p>
    <w:p w14:paraId="66819DF6" w14:textId="0355B087" w:rsidR="00AE5429" w:rsidRPr="008F730C" w:rsidRDefault="00AE5429" w:rsidP="008F730C">
      <w:pPr>
        <w:tabs>
          <w:tab w:val="left" w:pos="468"/>
        </w:tabs>
        <w:rPr>
          <w:sz w:val="16"/>
        </w:rPr>
      </w:pPr>
    </w:p>
    <w:sectPr w:rsidR="00AE5429" w:rsidRPr="008F730C" w:rsidSect="008F730C">
      <w:type w:val="continuous"/>
      <w:pgSz w:w="11910" w:h="16840"/>
      <w:pgMar w:top="1000" w:right="800" w:bottom="280" w:left="800" w:header="720" w:footer="720" w:gutter="0"/>
      <w:cols w:num="2" w:space="720" w:equalWidth="0">
        <w:col w:w="5017" w:space="209"/>
        <w:col w:w="50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6F4"/>
    <w:multiLevelType w:val="hybridMultilevel"/>
    <w:tmpl w:val="37B81C3A"/>
    <w:lvl w:ilvl="0" w:tplc="5016CB46">
      <w:start w:val="1"/>
      <w:numFmt w:val="upperRoman"/>
      <w:lvlText w:val="%1."/>
      <w:lvlJc w:val="left"/>
      <w:pPr>
        <w:ind w:left="557" w:hanging="274"/>
        <w:jc w:val="right"/>
      </w:pPr>
      <w:rPr>
        <w:rFonts w:ascii="Times New Roman" w:eastAsia="Times New Roman" w:hAnsi="Times New Roman" w:cs="Times New Roman" w:hint="default"/>
        <w:w w:val="99"/>
        <w:sz w:val="20"/>
        <w:szCs w:val="20"/>
        <w:lang w:val="en-US" w:eastAsia="en-US" w:bidi="ar-SA"/>
      </w:rPr>
    </w:lvl>
    <w:lvl w:ilvl="1" w:tplc="EE803B98">
      <w:numFmt w:val="bullet"/>
      <w:lvlText w:val="•"/>
      <w:lvlJc w:val="left"/>
      <w:pPr>
        <w:ind w:left="2337" w:hanging="274"/>
      </w:pPr>
      <w:rPr>
        <w:rFonts w:hint="default"/>
        <w:lang w:val="en-US" w:eastAsia="en-US" w:bidi="ar-SA"/>
      </w:rPr>
    </w:lvl>
    <w:lvl w:ilvl="2" w:tplc="B622DD48">
      <w:numFmt w:val="bullet"/>
      <w:lvlText w:val="•"/>
      <w:lvlJc w:val="left"/>
      <w:pPr>
        <w:ind w:left="2635" w:hanging="274"/>
      </w:pPr>
      <w:rPr>
        <w:rFonts w:hint="default"/>
        <w:lang w:val="en-US" w:eastAsia="en-US" w:bidi="ar-SA"/>
      </w:rPr>
    </w:lvl>
    <w:lvl w:ilvl="3" w:tplc="9F40C846">
      <w:numFmt w:val="bullet"/>
      <w:lvlText w:val="•"/>
      <w:lvlJc w:val="left"/>
      <w:pPr>
        <w:ind w:left="2933" w:hanging="274"/>
      </w:pPr>
      <w:rPr>
        <w:rFonts w:hint="default"/>
        <w:lang w:val="en-US" w:eastAsia="en-US" w:bidi="ar-SA"/>
      </w:rPr>
    </w:lvl>
    <w:lvl w:ilvl="4" w:tplc="C1265D50">
      <w:numFmt w:val="bullet"/>
      <w:lvlText w:val="•"/>
      <w:lvlJc w:val="left"/>
      <w:pPr>
        <w:ind w:left="3230" w:hanging="274"/>
      </w:pPr>
      <w:rPr>
        <w:rFonts w:hint="default"/>
        <w:lang w:val="en-US" w:eastAsia="en-US" w:bidi="ar-SA"/>
      </w:rPr>
    </w:lvl>
    <w:lvl w:ilvl="5" w:tplc="3404C63A">
      <w:numFmt w:val="bullet"/>
      <w:lvlText w:val="•"/>
      <w:lvlJc w:val="left"/>
      <w:pPr>
        <w:ind w:left="3528" w:hanging="274"/>
      </w:pPr>
      <w:rPr>
        <w:rFonts w:hint="default"/>
        <w:lang w:val="en-US" w:eastAsia="en-US" w:bidi="ar-SA"/>
      </w:rPr>
    </w:lvl>
    <w:lvl w:ilvl="6" w:tplc="1C4E563E">
      <w:numFmt w:val="bullet"/>
      <w:lvlText w:val="•"/>
      <w:lvlJc w:val="left"/>
      <w:pPr>
        <w:ind w:left="3826" w:hanging="274"/>
      </w:pPr>
      <w:rPr>
        <w:rFonts w:hint="default"/>
        <w:lang w:val="en-US" w:eastAsia="en-US" w:bidi="ar-SA"/>
      </w:rPr>
    </w:lvl>
    <w:lvl w:ilvl="7" w:tplc="E6E8FEC6">
      <w:numFmt w:val="bullet"/>
      <w:lvlText w:val="•"/>
      <w:lvlJc w:val="left"/>
      <w:pPr>
        <w:ind w:left="4124" w:hanging="274"/>
      </w:pPr>
      <w:rPr>
        <w:rFonts w:hint="default"/>
        <w:lang w:val="en-US" w:eastAsia="en-US" w:bidi="ar-SA"/>
      </w:rPr>
    </w:lvl>
    <w:lvl w:ilvl="8" w:tplc="7BDC02F2">
      <w:numFmt w:val="bullet"/>
      <w:lvlText w:val="•"/>
      <w:lvlJc w:val="left"/>
      <w:pPr>
        <w:ind w:left="4421" w:hanging="274"/>
      </w:pPr>
      <w:rPr>
        <w:rFonts w:hint="default"/>
        <w:lang w:val="en-US" w:eastAsia="en-US" w:bidi="ar-SA"/>
      </w:rPr>
    </w:lvl>
  </w:abstractNum>
  <w:abstractNum w:abstractNumId="1" w15:restartNumberingAfterBreak="0">
    <w:nsid w:val="7389166F"/>
    <w:multiLevelType w:val="hybridMultilevel"/>
    <w:tmpl w:val="AB00B2AE"/>
    <w:lvl w:ilvl="0" w:tplc="6A4C6F46">
      <w:start w:val="1"/>
      <w:numFmt w:val="upperLetter"/>
      <w:lvlText w:val="%1."/>
      <w:lvlJc w:val="left"/>
      <w:pPr>
        <w:ind w:left="395" w:hanging="289"/>
      </w:pPr>
      <w:rPr>
        <w:rFonts w:ascii="Times New Roman" w:eastAsia="Times New Roman" w:hAnsi="Times New Roman" w:cs="Times New Roman" w:hint="default"/>
        <w:i/>
        <w:iCs/>
        <w:w w:val="99"/>
        <w:sz w:val="20"/>
        <w:szCs w:val="20"/>
        <w:lang w:val="en-US" w:eastAsia="en-US" w:bidi="ar-SA"/>
      </w:rPr>
    </w:lvl>
    <w:lvl w:ilvl="1" w:tplc="58F4DC7C">
      <w:numFmt w:val="bullet"/>
      <w:lvlText w:val=""/>
      <w:lvlJc w:val="left"/>
      <w:pPr>
        <w:ind w:left="827" w:hanging="360"/>
      </w:pPr>
      <w:rPr>
        <w:rFonts w:ascii="Wingdings" w:eastAsia="Wingdings" w:hAnsi="Wingdings" w:cs="Wingdings" w:hint="default"/>
        <w:w w:val="99"/>
        <w:sz w:val="20"/>
        <w:szCs w:val="20"/>
        <w:lang w:val="en-US" w:eastAsia="en-US" w:bidi="ar-SA"/>
      </w:rPr>
    </w:lvl>
    <w:lvl w:ilvl="2" w:tplc="390A8D62">
      <w:numFmt w:val="bullet"/>
      <w:lvlText w:val="•"/>
      <w:lvlJc w:val="left"/>
      <w:pPr>
        <w:ind w:left="705" w:hanging="360"/>
      </w:pPr>
      <w:rPr>
        <w:rFonts w:hint="default"/>
        <w:lang w:val="en-US" w:eastAsia="en-US" w:bidi="ar-SA"/>
      </w:rPr>
    </w:lvl>
    <w:lvl w:ilvl="3" w:tplc="79A65A40">
      <w:numFmt w:val="bullet"/>
      <w:lvlText w:val="•"/>
      <w:lvlJc w:val="left"/>
      <w:pPr>
        <w:ind w:left="591" w:hanging="360"/>
      </w:pPr>
      <w:rPr>
        <w:rFonts w:hint="default"/>
        <w:lang w:val="en-US" w:eastAsia="en-US" w:bidi="ar-SA"/>
      </w:rPr>
    </w:lvl>
    <w:lvl w:ilvl="4" w:tplc="9E3E40A0">
      <w:numFmt w:val="bullet"/>
      <w:lvlText w:val="•"/>
      <w:lvlJc w:val="left"/>
      <w:pPr>
        <w:ind w:left="476" w:hanging="360"/>
      </w:pPr>
      <w:rPr>
        <w:rFonts w:hint="default"/>
        <w:lang w:val="en-US" w:eastAsia="en-US" w:bidi="ar-SA"/>
      </w:rPr>
    </w:lvl>
    <w:lvl w:ilvl="5" w:tplc="A062441C">
      <w:numFmt w:val="bullet"/>
      <w:lvlText w:val="•"/>
      <w:lvlJc w:val="left"/>
      <w:pPr>
        <w:ind w:left="362" w:hanging="360"/>
      </w:pPr>
      <w:rPr>
        <w:rFonts w:hint="default"/>
        <w:lang w:val="en-US" w:eastAsia="en-US" w:bidi="ar-SA"/>
      </w:rPr>
    </w:lvl>
    <w:lvl w:ilvl="6" w:tplc="46604D2E">
      <w:numFmt w:val="bullet"/>
      <w:lvlText w:val="•"/>
      <w:lvlJc w:val="left"/>
      <w:pPr>
        <w:ind w:left="248" w:hanging="360"/>
      </w:pPr>
      <w:rPr>
        <w:rFonts w:hint="default"/>
        <w:lang w:val="en-US" w:eastAsia="en-US" w:bidi="ar-SA"/>
      </w:rPr>
    </w:lvl>
    <w:lvl w:ilvl="7" w:tplc="4EDE098E">
      <w:numFmt w:val="bullet"/>
      <w:lvlText w:val="•"/>
      <w:lvlJc w:val="left"/>
      <w:pPr>
        <w:ind w:left="133" w:hanging="360"/>
      </w:pPr>
      <w:rPr>
        <w:rFonts w:hint="default"/>
        <w:lang w:val="en-US" w:eastAsia="en-US" w:bidi="ar-SA"/>
      </w:rPr>
    </w:lvl>
    <w:lvl w:ilvl="8" w:tplc="E23EF5FC">
      <w:numFmt w:val="bullet"/>
      <w:lvlText w:val="•"/>
      <w:lvlJc w:val="left"/>
      <w:pPr>
        <w:ind w:left="19" w:hanging="360"/>
      </w:pPr>
      <w:rPr>
        <w:rFonts w:hint="default"/>
        <w:lang w:val="en-US" w:eastAsia="en-US" w:bidi="ar-SA"/>
      </w:rPr>
    </w:lvl>
  </w:abstractNum>
  <w:abstractNum w:abstractNumId="2" w15:restartNumberingAfterBreak="0">
    <w:nsid w:val="7A420F7C"/>
    <w:multiLevelType w:val="hybridMultilevel"/>
    <w:tmpl w:val="97D0868E"/>
    <w:lvl w:ilvl="0" w:tplc="9D08CFEE">
      <w:start w:val="1"/>
      <w:numFmt w:val="decimal"/>
      <w:lvlText w:val="[%1]"/>
      <w:lvlJc w:val="left"/>
      <w:pPr>
        <w:ind w:left="460" w:hanging="361"/>
      </w:pPr>
      <w:rPr>
        <w:rFonts w:ascii="Times New Roman" w:eastAsia="Times New Roman" w:hAnsi="Times New Roman" w:cs="Times New Roman" w:hint="default"/>
        <w:spacing w:val="-1"/>
        <w:w w:val="100"/>
        <w:sz w:val="16"/>
        <w:szCs w:val="16"/>
        <w:lang w:val="en-US" w:eastAsia="en-US" w:bidi="ar-SA"/>
      </w:rPr>
    </w:lvl>
    <w:lvl w:ilvl="1" w:tplc="8764ADEE">
      <w:numFmt w:val="bullet"/>
      <w:lvlText w:val="•"/>
      <w:lvlJc w:val="left"/>
      <w:pPr>
        <w:ind w:left="922" w:hanging="361"/>
      </w:pPr>
      <w:rPr>
        <w:rFonts w:hint="default"/>
        <w:lang w:val="en-US" w:eastAsia="en-US" w:bidi="ar-SA"/>
      </w:rPr>
    </w:lvl>
    <w:lvl w:ilvl="2" w:tplc="04662A88">
      <w:numFmt w:val="bullet"/>
      <w:lvlText w:val="•"/>
      <w:lvlJc w:val="left"/>
      <w:pPr>
        <w:ind w:left="1384" w:hanging="361"/>
      </w:pPr>
      <w:rPr>
        <w:rFonts w:hint="default"/>
        <w:lang w:val="en-US" w:eastAsia="en-US" w:bidi="ar-SA"/>
      </w:rPr>
    </w:lvl>
    <w:lvl w:ilvl="3" w:tplc="F1222FF6">
      <w:numFmt w:val="bullet"/>
      <w:lvlText w:val="•"/>
      <w:lvlJc w:val="left"/>
      <w:pPr>
        <w:ind w:left="1846" w:hanging="361"/>
      </w:pPr>
      <w:rPr>
        <w:rFonts w:hint="default"/>
        <w:lang w:val="en-US" w:eastAsia="en-US" w:bidi="ar-SA"/>
      </w:rPr>
    </w:lvl>
    <w:lvl w:ilvl="4" w:tplc="448652D6">
      <w:numFmt w:val="bullet"/>
      <w:lvlText w:val="•"/>
      <w:lvlJc w:val="left"/>
      <w:pPr>
        <w:ind w:left="2308" w:hanging="361"/>
      </w:pPr>
      <w:rPr>
        <w:rFonts w:hint="default"/>
        <w:lang w:val="en-US" w:eastAsia="en-US" w:bidi="ar-SA"/>
      </w:rPr>
    </w:lvl>
    <w:lvl w:ilvl="5" w:tplc="3D6A902A">
      <w:numFmt w:val="bullet"/>
      <w:lvlText w:val="•"/>
      <w:lvlJc w:val="left"/>
      <w:pPr>
        <w:ind w:left="2770" w:hanging="361"/>
      </w:pPr>
      <w:rPr>
        <w:rFonts w:hint="default"/>
        <w:lang w:val="en-US" w:eastAsia="en-US" w:bidi="ar-SA"/>
      </w:rPr>
    </w:lvl>
    <w:lvl w:ilvl="6" w:tplc="421EC76C">
      <w:numFmt w:val="bullet"/>
      <w:lvlText w:val="•"/>
      <w:lvlJc w:val="left"/>
      <w:pPr>
        <w:ind w:left="3232" w:hanging="361"/>
      </w:pPr>
      <w:rPr>
        <w:rFonts w:hint="default"/>
        <w:lang w:val="en-US" w:eastAsia="en-US" w:bidi="ar-SA"/>
      </w:rPr>
    </w:lvl>
    <w:lvl w:ilvl="7" w:tplc="FED00868">
      <w:numFmt w:val="bullet"/>
      <w:lvlText w:val="•"/>
      <w:lvlJc w:val="left"/>
      <w:pPr>
        <w:ind w:left="3694" w:hanging="361"/>
      </w:pPr>
      <w:rPr>
        <w:rFonts w:hint="default"/>
        <w:lang w:val="en-US" w:eastAsia="en-US" w:bidi="ar-SA"/>
      </w:rPr>
    </w:lvl>
    <w:lvl w:ilvl="8" w:tplc="F24AC3B6">
      <w:numFmt w:val="bullet"/>
      <w:lvlText w:val="•"/>
      <w:lvlJc w:val="left"/>
      <w:pPr>
        <w:ind w:left="4156"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29"/>
    <w:rsid w:val="001014A2"/>
    <w:rsid w:val="00141EAC"/>
    <w:rsid w:val="00313DC1"/>
    <w:rsid w:val="0036181F"/>
    <w:rsid w:val="004D24FD"/>
    <w:rsid w:val="005B45E1"/>
    <w:rsid w:val="008442F1"/>
    <w:rsid w:val="008841B0"/>
    <w:rsid w:val="008969C6"/>
    <w:rsid w:val="008F730C"/>
    <w:rsid w:val="00AE5429"/>
    <w:rsid w:val="00C550F6"/>
    <w:rsid w:val="00CD64D6"/>
    <w:rsid w:val="00D17DAF"/>
    <w:rsid w:val="00E53791"/>
    <w:rsid w:val="00FB3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B68"/>
  <w15:docId w15:val="{2A8F9F48-93D2-4572-AD3A-E7785B02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30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7"/>
      <w:jc w:val="both"/>
    </w:pPr>
    <w:rPr>
      <w:sz w:val="20"/>
      <w:szCs w:val="20"/>
    </w:rPr>
  </w:style>
  <w:style w:type="paragraph" w:styleId="Title">
    <w:name w:val="Title"/>
    <w:basedOn w:val="Normal"/>
    <w:uiPriority w:val="10"/>
    <w:qFormat/>
    <w:pPr>
      <w:spacing w:before="63"/>
      <w:ind w:left="1172" w:right="1173"/>
      <w:jc w:val="center"/>
    </w:pPr>
    <w:rPr>
      <w:sz w:val="48"/>
      <w:szCs w:val="48"/>
    </w:rPr>
  </w:style>
  <w:style w:type="paragraph" w:styleId="ListParagraph">
    <w:name w:val="List Paragraph"/>
    <w:basedOn w:val="Normal"/>
    <w:uiPriority w:val="1"/>
    <w:qFormat/>
    <w:pPr>
      <w:ind w:left="395"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D24FD"/>
    <w:rPr>
      <w:color w:val="0000FF" w:themeColor="hyperlink"/>
      <w:u w:val="single"/>
    </w:rPr>
  </w:style>
  <w:style w:type="character" w:customStyle="1" w:styleId="UnresolvedMention">
    <w:name w:val="Unresolved Mention"/>
    <w:basedOn w:val="DefaultParagraphFont"/>
    <w:uiPriority w:val="99"/>
    <w:semiHidden/>
    <w:unhideWhenUsed/>
    <w:rsid w:val="004D24FD"/>
    <w:rPr>
      <w:color w:val="605E5C"/>
      <w:shd w:val="clear" w:color="auto" w:fill="E1DFDD"/>
    </w:rPr>
  </w:style>
  <w:style w:type="character" w:customStyle="1" w:styleId="BodyTextChar">
    <w:name w:val="Body Text Char"/>
    <w:basedOn w:val="DefaultParagraphFont"/>
    <w:link w:val="BodyText"/>
    <w:uiPriority w:val="1"/>
    <w:rsid w:val="008F730C"/>
    <w:rPr>
      <w:rFonts w:ascii="Times New Roman" w:eastAsia="Times New Roman" w:hAnsi="Times New Roman" w:cs="Times New Roman"/>
      <w:sz w:val="20"/>
      <w:szCs w:val="20"/>
    </w:rPr>
  </w:style>
  <w:style w:type="paragraph" w:customStyle="1" w:styleId="papertitle">
    <w:name w:val="paper title"/>
    <w:rsid w:val="008F730C"/>
    <w:pPr>
      <w:widowControl/>
      <w:autoSpaceDE/>
      <w:autoSpaceDN/>
      <w:spacing w:after="120"/>
      <w:jc w:val="center"/>
    </w:pPr>
    <w:rPr>
      <w:rFonts w:ascii="Times New Roman" w:eastAsia="MS Mincho" w:hAnsi="Times New Roman" w:cs="Times New Roman"/>
      <w:noProo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tbohra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leon von ashfiel</cp:lastModifiedBy>
  <cp:revision>2</cp:revision>
  <cp:lastPrinted>2023-11-01T06:22:00Z</cp:lastPrinted>
  <dcterms:created xsi:type="dcterms:W3CDTF">2023-11-01T19:25:00Z</dcterms:created>
  <dcterms:modified xsi:type="dcterms:W3CDTF">2023-11-01T19:25:00Z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2023-10-29T00:00:00Z</vt:filetime>
  </property>
  <property fmtid="{D5CDD505-2E9C-101B-9397-08002B2CF9AE}" pid="3" name="Creator">
    <vt:lpwstr>Microsoft® Word for Microsoft 365</vt:lpwstr>
  </property>
  <property fmtid="{D5CDD505-2E9C-101B-9397-08002B2CF9AE}" pid="4" name="LastSaved">
    <vt:filetime>2023-10-31T00:00:00Z</vt:filetime>
  </property>
</Properties>
</file>