
<file path=[Content_Types].xml><?xml version="1.0" encoding="utf-8"?>
<Types xmlns="http://schemas.openxmlformats.org/package/2006/content-types">
  <Default ContentType="image/gif" Extension="gi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sz w:val="23"/>
          <w:szCs w:val="23"/>
          <w:rtl w:val="0"/>
        </w:rPr>
        <w:t xml:space="preserve">Pontificia Universidad Javeriana · Especialización en Inteligencia Artificial</w:t>
      </w: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sz w:val="23"/>
          <w:szCs w:val="23"/>
          <w:rtl w:val="0"/>
        </w:rPr>
        <w:t xml:space="preserve">Proyecto de Aplicación en IA · Módulo 2: Prototipado</w:t>
      </w:r>
      <w:r w:rsidDel="00000000" w:rsidR="00000000" w:rsidRPr="00000000">
        <w:rPr>
          <w:rtl w:val="0"/>
        </w:rPr>
      </w:r>
    </w:p>
    <w:p w:rsidR="00000000" w:rsidDel="00000000" w:rsidP="00000000" w:rsidRDefault="00000000" w:rsidRPr="00000000" w14:paraId="0000000A">
      <w:pPr>
        <w:spacing w:before="720" w:lineRule="auto"/>
        <w:jc w:val="center"/>
        <w:rPr/>
      </w:pPr>
      <w:r w:rsidDel="00000000" w:rsidR="00000000" w:rsidRPr="00000000">
        <w:rPr>
          <w:b w:val="1"/>
          <w:bCs w:val="1"/>
          <w:color w:val="1f3a5e"/>
          <w:sz w:val="60"/>
          <w:szCs w:val="60"/>
          <w:rtl w:val="0"/>
        </w:rPr>
        <w:t xml:space="preserve">BolsaLAB</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sz w:val="28"/>
          <w:szCs w:val="28"/>
          <w:rtl w:val="0"/>
        </w:rPr>
        <w:t xml:space="preserve">Ciclo 3A: prototipado del modelo (sprint 5)</w:t>
      </w:r>
      <w:r w:rsidDel="00000000" w:rsidR="00000000" w:rsidRPr="00000000">
        <w:rPr>
          <w:rtl w:val="0"/>
        </w:rPr>
      </w:r>
    </w:p>
    <w:p w:rsidR="00000000" w:rsidDel="00000000" w:rsidP="00000000" w:rsidRDefault="00000000" w:rsidRPr="00000000" w14:paraId="0000000C">
      <w:pPr>
        <w:spacing w:after="40" w:before="600" w:lineRule="auto"/>
        <w:jc w:val="center"/>
        <w:rPr/>
      </w:pPr>
      <w:r w:rsidDel="00000000" w:rsidR="00000000" w:rsidRPr="00000000">
        <w:rPr>
          <w:b w:val="1"/>
          <w:bCs w:val="1"/>
          <w:sz w:val="23"/>
          <w:szCs w:val="23"/>
          <w:rtl w:val="0"/>
        </w:rPr>
        <w:t xml:space="preserve">Grupo 10</w:t>
      </w:r>
      <w:r w:rsidDel="00000000" w:rsidR="00000000" w:rsidRPr="00000000">
        <w:rPr>
          <w:rtl w:val="0"/>
        </w:rPr>
      </w:r>
    </w:p>
    <w:p w:rsidR="00000000" w:rsidDel="00000000" w:rsidP="00000000" w:rsidRDefault="00000000" w:rsidRPr="00000000" w14:paraId="0000000D">
      <w:pPr>
        <w:spacing w:after="0" w:lineRule="auto"/>
        <w:jc w:val="center"/>
        <w:rPr/>
      </w:pPr>
      <w:r w:rsidDel="00000000" w:rsidR="00000000" w:rsidRPr="00000000">
        <w:rPr>
          <w:sz w:val="23"/>
          <w:szCs w:val="23"/>
          <w:rtl w:val="0"/>
        </w:rPr>
        <w:t xml:space="preserve">Jenny Paola Castellanos</w:t>
      </w:r>
      <w:r w:rsidDel="00000000" w:rsidR="00000000" w:rsidRPr="00000000">
        <w:rPr>
          <w:rtl w:val="0"/>
        </w:rPr>
      </w:r>
    </w:p>
    <w:p w:rsidR="00000000" w:rsidDel="00000000" w:rsidP="00000000" w:rsidRDefault="00000000" w:rsidRPr="00000000" w14:paraId="0000000E">
      <w:pPr>
        <w:spacing w:after="0" w:lineRule="auto"/>
        <w:jc w:val="center"/>
        <w:rPr/>
      </w:pPr>
      <w:r w:rsidDel="00000000" w:rsidR="00000000" w:rsidRPr="00000000">
        <w:rPr>
          <w:sz w:val="23"/>
          <w:szCs w:val="23"/>
          <w:rtl w:val="0"/>
        </w:rPr>
        <w:t xml:space="preserve">Luis Guillermo Yépez</w:t>
      </w:r>
      <w:r w:rsidDel="00000000" w:rsidR="00000000" w:rsidRPr="00000000">
        <w:rPr>
          <w:rtl w:val="0"/>
        </w:rPr>
      </w:r>
    </w:p>
    <w:p w:rsidR="00000000" w:rsidDel="00000000" w:rsidP="00000000" w:rsidRDefault="00000000" w:rsidRPr="00000000" w14:paraId="0000000F">
      <w:pPr>
        <w:spacing w:after="0" w:lineRule="auto"/>
        <w:jc w:val="center"/>
        <w:rPr/>
      </w:pPr>
      <w:r w:rsidDel="00000000" w:rsidR="00000000" w:rsidRPr="00000000">
        <w:rPr>
          <w:sz w:val="23"/>
          <w:szCs w:val="23"/>
          <w:rtl w:val="0"/>
        </w:rPr>
        <w:t xml:space="preserve">Dilan Vega</w:t>
      </w:r>
      <w:r w:rsidDel="00000000" w:rsidR="00000000" w:rsidRPr="00000000">
        <w:rPr>
          <w:rtl w:val="0"/>
        </w:rPr>
      </w:r>
    </w:p>
    <w:p w:rsidR="00000000" w:rsidDel="00000000" w:rsidP="00000000" w:rsidRDefault="00000000" w:rsidRPr="00000000" w14:paraId="00000010">
      <w:pPr>
        <w:spacing w:after="0" w:lineRule="auto"/>
        <w:jc w:val="center"/>
        <w:rPr/>
      </w:pPr>
      <w:r w:rsidDel="00000000" w:rsidR="00000000" w:rsidRPr="00000000">
        <w:rPr>
          <w:sz w:val="23"/>
          <w:szCs w:val="23"/>
          <w:rtl w:val="0"/>
        </w:rPr>
        <w:t xml:space="preserve">Juan Gilberto Ayala</w:t>
      </w:r>
      <w:r w:rsidDel="00000000" w:rsidR="00000000" w:rsidRPr="00000000">
        <w:rPr>
          <w:rtl w:val="0"/>
        </w:rPr>
      </w:r>
    </w:p>
    <w:p w:rsidR="00000000" w:rsidDel="00000000" w:rsidP="00000000" w:rsidRDefault="00000000" w:rsidRPr="00000000" w14:paraId="00000011">
      <w:pPr>
        <w:spacing w:before="600" w:lineRule="auto"/>
        <w:jc w:val="center"/>
        <w:rPr/>
        <w:sectPr>
          <w:pgSz w:h="15840" w:w="12240" w:orient="portrait"/>
          <w:pgMar w:bottom="1247" w:top="1247" w:left="1247" w:right="1247" w:header="720" w:footer="720"/>
          <w:pgNumType w:start="1"/>
        </w:sectPr>
      </w:pPr>
      <w:r w:rsidDel="00000000" w:rsidR="00000000" w:rsidRPr="00000000">
        <w:rPr>
          <w:sz w:val="23"/>
          <w:szCs w:val="23"/>
          <w:rtl w:val="0"/>
        </w:rPr>
        <w:t xml:space="preserve">26 de octubre de 2026</w:t>
      </w:r>
      <w:r w:rsidDel="00000000" w:rsidR="00000000" w:rsidRPr="00000000">
        <w:rPr>
          <w:rtl w:val="0"/>
        </w:rPr>
      </w:r>
    </w:p>
    <w:p w:rsidR="00000000" w:rsidDel="00000000" w:rsidP="00000000" w:rsidRDefault="00000000" w:rsidRPr="00000000" w14:paraId="00000012">
      <w:pPr>
        <w:pStyle w:val="Heading1"/>
        <w:rPr>
          <w:rFonts w:ascii="Arial" w:cs="Arial" w:eastAsia="Arial" w:hAnsi="Arial"/>
        </w:rPr>
      </w:pPr>
      <w:r w:rsidDel="00000000" w:rsidR="00000000" w:rsidRPr="00000000">
        <w:rPr>
          <w:rFonts w:ascii="Arial" w:cs="Arial" w:eastAsia="Arial" w:hAnsi="Arial"/>
          <w:rtl w:val="0"/>
        </w:rPr>
        <w:t xml:space="preserve">1. Tarea, Identificar los criterios de "calidad" del modelo:</w:t>
      </w:r>
    </w:p>
    <w:p w:rsidR="00000000" w:rsidDel="00000000" w:rsidP="00000000" w:rsidRDefault="00000000" w:rsidRPr="00000000" w14:paraId="00000013">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Para el desarrollo del proyecto </w:t>
      </w:r>
      <w:r w:rsidDel="00000000" w:rsidR="00000000" w:rsidRPr="00000000">
        <w:rPr>
          <w:rFonts w:ascii="Arial" w:cs="Arial" w:eastAsia="Arial" w:hAnsi="Arial"/>
          <w:b w:val="1"/>
          <w:bCs w:val="1"/>
          <w:rtl w:val="0"/>
        </w:rPr>
        <w:t xml:space="preserve">BolsaLAB</w:t>
      </w:r>
      <w:r w:rsidDel="00000000" w:rsidR="00000000" w:rsidRPr="00000000">
        <w:rPr>
          <w:rFonts w:ascii="Arial" w:cs="Arial" w:eastAsia="Arial" w:hAnsi="Arial"/>
          <w:rtl w:val="0"/>
        </w:rPr>
        <w:t xml:space="preserve">, se seleccionó como base principal de entrenamiento la encuesta japonesa sobre la caída de mercado de marzo de 2020 (Bawalle et al., 2025), la cual comprende un total de 54.704 datos, y adicionalmente, con el propósito de evaluar el desempeño del modelo fuera del contexto japonés, se incorporaron diversos datasets internacionales de contraste, destacando el panel SCF 2007-2009 de Estados Unidos, la encuesta desarrollada por Hanspal et al. (2020), la NFCS Investor Survey 2018 de FINRA, la CRR 2009 Retirement Survey.</w:t>
      </w:r>
    </w:p>
    <w:p w:rsidR="00000000" w:rsidDel="00000000" w:rsidP="00000000" w:rsidRDefault="00000000" w:rsidRPr="00000000" w14:paraId="00000014">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Por otro lado, se analizó la pertinencia de utilizar el conjunto de datos de Rentabilidades de los Fondos de Inversión Colectiva (FIC), provisto por la Superintendencia Financiera en Colombia. Sin embargo, tras la evaluación, se determinó que no es apto para realizar entrenamientos o contrastes directos, debido a que carece de registros detallados a nivel individual que permitan rastrear la conducta de retirarse de una inversión a nivel de persona. En consecuencia, este conjunto de datos se conserva exclusivamente para propósitos de contexto general dentro del proyecto.</w:t>
      </w:r>
    </w:p>
    <w:p w:rsidR="00000000" w:rsidDel="00000000" w:rsidP="00000000" w:rsidRDefault="00000000" w:rsidRPr="00000000" w14:paraId="00000015">
      <w:pPr>
        <w:spacing w:after="240" w:line="276" w:lineRule="auto"/>
        <w:jc w:val="both"/>
        <w:rPr>
          <w:rFonts w:ascii="Arial" w:cs="Arial" w:eastAsia="Arial" w:hAnsi="Arial"/>
          <w:b w:val="1"/>
          <w:bCs w:val="1"/>
          <w:color w:val="1f3a5e"/>
        </w:rPr>
      </w:pPr>
      <w:r w:rsidDel="00000000" w:rsidR="00000000" w:rsidRPr="00000000">
        <w:rPr>
          <w:rFonts w:ascii="Arial" w:cs="Arial" w:eastAsia="Arial" w:hAnsi="Arial"/>
          <w:b w:val="1"/>
          <w:bCs w:val="1"/>
          <w:color w:val="1f3a5e"/>
          <w:rtl w:val="0"/>
        </w:rPr>
        <w:t xml:space="preserve">1.1. Limpieza de datos:</w:t>
      </w:r>
    </w:p>
    <w:p w:rsidR="00000000" w:rsidDel="00000000" w:rsidP="00000000" w:rsidRDefault="00000000" w:rsidRPr="00000000" w14:paraId="00000016">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Para llevar a cabo la limpieza de datos, se implementó el script de BolsaLAB, el cual procesa el archivo original y filtra únicamente a los encuestados que poseían inversiones, clasificándolos entre quienes vendieron todo, vendieron parte o mantuvieron sus posiciones. Así es que se excluye a quienes no tenían inversiones, ya que carecían de activos para liquidar y su inclusión habría enseñado al modelo a separar inversionistas de no inversionistas en lugar de predecir la conducta de venta. Como resultado de este filtro, la población de entrenamiento quedó conformada por 54.704 inversionistas activos, de los cuales un 19,87 % vendió todo o parte durante la crisis, a partir de un universo inicial de 191.762 encuestados.</w:t>
      </w:r>
    </w:p>
    <w:p w:rsidR="00000000" w:rsidDel="00000000" w:rsidP="00000000" w:rsidRDefault="00000000" w:rsidRPr="00000000" w14:paraId="00000017">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Asimismo, antes de iniciar el entrenamiento, se fijaron valores esperados estrictos que son contrastados mediante pruebas automáticas cada vez que se ejecuta el código. Dado que ningún registro superó los límites de las escalas establecidas, no fue necesario eliminar ni corregir datos de manera arbitraria, conservando incluso a aquellos usuarios que repitieron respuestas idénticas debido a la naturaleza de las preguntas cerradas. Este protocolo de calidad que se realiza, busca garantizar la integridad, consistencia y reproducibilidad de la base de datos procesada para las siguientes fases del proyecto.</w:t>
      </w:r>
    </w:p>
    <w:p w:rsidR="00000000" w:rsidDel="00000000" w:rsidP="00000000" w:rsidRDefault="00000000" w:rsidRPr="00000000" w14:paraId="00000018">
      <w:pPr>
        <w:spacing w:after="240" w:line="276" w:lineRule="auto"/>
        <w:jc w:val="both"/>
        <w:rPr>
          <w:rFonts w:ascii="Arial" w:cs="Arial" w:eastAsia="Arial" w:hAnsi="Arial"/>
          <w:b w:val="1"/>
          <w:bCs w:val="1"/>
          <w:color w:val="1f3a5e"/>
        </w:rPr>
      </w:pPr>
      <w:r w:rsidDel="00000000" w:rsidR="00000000" w:rsidRPr="00000000">
        <w:rPr>
          <w:rFonts w:ascii="Arial" w:cs="Arial" w:eastAsia="Arial" w:hAnsi="Arial"/>
          <w:b w:val="1"/>
          <w:bCs w:val="1"/>
          <w:color w:val="1f3a5e"/>
          <w:rtl w:val="0"/>
        </w:rPr>
        <w:t xml:space="preserve">1.2. Construcción de datos.</w:t>
      </w:r>
    </w:p>
    <w:p w:rsidR="00000000" w:rsidDel="00000000" w:rsidP="00000000" w:rsidRDefault="00000000" w:rsidRPr="00000000" w14:paraId="00000019">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En el proceso de construcción de variables, se definió como variable objetivo la venta (sold) asignando un valor de 1 si la persona vendió todo o parte durante la caída, y 0 si mantuvo sus posiciones. </w:t>
      </w:r>
    </w:p>
    <w:p w:rsidR="00000000" w:rsidDel="00000000" w:rsidP="00000000" w:rsidRDefault="00000000" w:rsidRPr="00000000" w14:paraId="0000001A">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De igual forma se estructuraron 17 variables de entrada explicativas alineadas con los cuestionarios, entre las cuales se destacan las tres preguntas de conocimiento financiero ingresadas por separado, también la confianza y el exceso de confianza. Se toman variables demográficas como la edad y su término cuadrático para captar la forma en U de las ventas, el nivel educativo, el estado civil, la presencia de hijos y los rangos de ingreso y activos del hogar.</w:t>
      </w:r>
    </w:p>
    <w:p w:rsidR="00000000" w:rsidDel="00000000" w:rsidP="00000000" w:rsidRDefault="00000000" w:rsidRPr="00000000" w14:paraId="0000001B">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Por otra parte, se llevó a cabo una auditoría y prevención de fugas de información </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data leakage</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excluyendo columnas que revelaran el resultado final o duplican información como agregados de conocimiento o variables de pánico previo. Además, se avanzó en la integración y formateo de los datos, unificando las dimensiones en una estructura tabular por persona almacenada, e identificando las 5 variables demográficas comunes para el contraste con el panel SCF de Estados Unidos. Todo este flujo fue estandarizado en nombres e idioma inglés, respaldado por un conjunto de 23 pruebas automáticas que garantizan la reproducibilidad del pipeline.</w:t>
      </w:r>
    </w:p>
    <w:p w:rsidR="00000000" w:rsidDel="00000000" w:rsidP="00000000" w:rsidRDefault="00000000" w:rsidRPr="00000000" w14:paraId="0000001C">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Se realizó una auditoría para excluir columnas que contenían información directa sobre el resultado o redundancias analíticas, como Tot_Panic_Sell, puntajes globales de alfabetización que agrupan las preguntas o variables transformadas en logaritmo, lo anterior buscando mediante pruebas automáticas que ningún dato de conducta futura contaminaría el entrenamiento.</w:t>
      </w:r>
    </w:p>
    <w:p w:rsidR="00000000" w:rsidDel="00000000" w:rsidP="00000000" w:rsidRDefault="00000000" w:rsidRPr="00000000" w14:paraId="0000001D">
      <w:pPr>
        <w:spacing w:after="240" w:line="276" w:lineRule="auto"/>
        <w:jc w:val="both"/>
        <w:rPr>
          <w:rFonts w:ascii="Arial" w:cs="Arial" w:eastAsia="Arial" w:hAnsi="Arial"/>
          <w:b w:val="1"/>
          <w:bCs w:val="1"/>
          <w:color w:val="1f3a5e"/>
        </w:rPr>
      </w:pPr>
      <w:r w:rsidDel="00000000" w:rsidR="00000000" w:rsidRPr="00000000">
        <w:rPr>
          <w:rFonts w:ascii="Arial" w:cs="Arial" w:eastAsia="Arial" w:hAnsi="Arial"/>
          <w:b w:val="1"/>
          <w:bCs w:val="1"/>
          <w:color w:val="1f3a5e"/>
          <w:rtl w:val="0"/>
        </w:rPr>
        <w:t xml:space="preserve">1.3. Integración de datos</w:t>
      </w:r>
    </w:p>
    <w:p w:rsidR="00000000" w:rsidDel="00000000" w:rsidP="00000000" w:rsidRDefault="00000000" w:rsidRPr="00000000" w14:paraId="0000001E">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Se unificaron los datos, en una estructura tabular individualizada por persona, donde las dimensiones cognitivas, demográficas y financieras se obtienen a partir de la fuente de entrenamiento principal. De igual forma para llevar a cabo el contraste internacional con el panel SCF de Estados Unidos, se articularon ambas fuentes mediante la identificación y alineación de cinco variables demográficas clave que se encontraban disponibles de manera común en ambos instrumentos de medición.</w:t>
      </w:r>
    </w:p>
    <w:p w:rsidR="00000000" w:rsidDel="00000000" w:rsidP="00000000" w:rsidRDefault="00000000" w:rsidRPr="00000000" w14:paraId="0000001F">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Se estandarizaron los nombres de las columnas en idioma inglés y formato minúscula para mantener la compatibilidad con el ecosistema de desarrollo.</w:t>
      </w:r>
    </w:p>
    <w:p w:rsidR="00000000" w:rsidDel="00000000" w:rsidP="00000000" w:rsidRDefault="00000000" w:rsidRPr="00000000" w14:paraId="00000020">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Los datos limpios e intermedios se almacenaron, asegurando la reproducibilidad del pipeline mediante un total de 23 pruebas automáticas distribuidas en las etapas de limpieza, variables y panel de contraste. </w:t>
      </w:r>
    </w:p>
    <w:p w:rsidR="00000000" w:rsidDel="00000000" w:rsidP="00000000" w:rsidRDefault="00000000" w:rsidRPr="00000000" w14:paraId="00000021">
      <w:pPr>
        <w:pStyle w:val="Heading2"/>
        <w:keepNext w:val="0"/>
        <w:keepLines w:val="0"/>
        <w:spacing w:after="80" w:before="360" w:lineRule="auto"/>
        <w:rPr>
          <w:rFonts w:ascii="Arial" w:cs="Arial" w:eastAsia="Arial" w:hAnsi="Arial"/>
          <w:color w:val="1b1b1b"/>
          <w:sz w:val="34"/>
          <w:szCs w:val="34"/>
        </w:rPr>
      </w:pPr>
      <w:bookmarkStart w:colFirst="0" w:colLast="0" w:name="_j2v6ixcvn37v" w:id="0"/>
      <w:bookmarkEnd w:id="0"/>
      <w:r w:rsidDel="00000000" w:rsidR="00000000" w:rsidRPr="00000000">
        <w:rPr>
          <w:rFonts w:ascii="Arial" w:cs="Arial" w:eastAsia="Arial" w:hAnsi="Arial"/>
          <w:rtl w:val="0"/>
        </w:rPr>
        <w:t xml:space="preserve">Criterios de calidad relacionados con nuestro producto</w:t>
      </w:r>
      <w:r w:rsidDel="00000000" w:rsidR="00000000" w:rsidRPr="00000000">
        <w:rPr>
          <w:rtl w:val="0"/>
        </w:rPr>
      </w:r>
    </w:p>
    <w:p w:rsidR="00000000" w:rsidDel="00000000" w:rsidP="00000000" w:rsidRDefault="00000000" w:rsidRPr="00000000" w14:paraId="00000022">
      <w:pPr>
        <w:spacing w:after="60" w:before="120" w:lineRule="auto"/>
        <w:rPr>
          <w:rFonts w:ascii="Arial" w:cs="Arial" w:eastAsia="Arial" w:hAnsi="Arial"/>
          <w:color w:val="1f3a5e"/>
          <w:sz w:val="19"/>
          <w:szCs w:val="19"/>
        </w:rPr>
      </w:pPr>
      <w:r w:rsidDel="00000000" w:rsidR="00000000" w:rsidRPr="00000000">
        <w:rPr>
          <w:rFonts w:ascii="Arial" w:cs="Arial" w:eastAsia="Arial" w:hAnsi="Arial"/>
          <w:b w:val="1"/>
          <w:bCs w:val="1"/>
          <w:color w:val="1f3a5e"/>
          <w:sz w:val="19"/>
          <w:szCs w:val="19"/>
          <w:rtl w:val="0"/>
        </w:rPr>
        <w:t xml:space="preserve">Tabla 1. </w:t>
      </w:r>
      <w:r w:rsidDel="00000000" w:rsidR="00000000" w:rsidRPr="00000000">
        <w:rPr>
          <w:rFonts w:ascii="Arial" w:cs="Arial" w:eastAsia="Arial" w:hAnsi="Arial"/>
          <w:color w:val="1f3a5e"/>
          <w:sz w:val="19"/>
          <w:szCs w:val="19"/>
          <w:rtl w:val="0"/>
        </w:rPr>
        <w:t xml:space="preserve">Criterios del producto.</w:t>
      </w:r>
    </w:p>
    <w:tbl>
      <w:tblPr>
        <w:tblStyle w:val="Table1"/>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60"/>
        <w:gridCol w:w="4875"/>
        <w:tblGridChange w:id="0">
          <w:tblGrid>
            <w:gridCol w:w="4860"/>
            <w:gridCol w:w="4875"/>
          </w:tblGrid>
        </w:tblGridChange>
      </w:tblGrid>
      <w:tr>
        <w:trPr>
          <w:cantSplit w:val="0"/>
          <w:trHeight w:val="285" w:hRule="atLeast"/>
          <w:tblHeader w:val="0"/>
        </w:trPr>
        <w:tc>
          <w:tcPr>
            <w:tcBorders>
              <w:top w:color="b4bcc6" w:space="0" w:sz="5" w:val="single"/>
              <w:left w:color="b4bcc6" w:space="0" w:sz="5" w:val="single"/>
              <w:bottom w:color="b4bcc6" w:space="0" w:sz="5" w:val="single"/>
              <w:right w:color="b4bcc6" w:space="0" w:sz="5" w:val="single"/>
            </w:tcBorders>
            <w:shd w:fill="1f3a5e" w:val="clear"/>
            <w:tcMar>
              <w:top w:w="0.0" w:type="dxa"/>
              <w:left w:w="100.0" w:type="dxa"/>
              <w:bottom w:w="0.0" w:type="dxa"/>
              <w:right w:w="100.0" w:type="dxa"/>
            </w:tcMar>
            <w:vAlign w:val="top"/>
          </w:tcPr>
          <w:p w:rsidR="00000000" w:rsidDel="00000000" w:rsidP="00000000" w:rsidRDefault="00000000" w:rsidRPr="00000000" w14:paraId="00000023">
            <w:pPr>
              <w:spacing w:after="20" w:before="2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Criterio</w:t>
            </w:r>
          </w:p>
        </w:tc>
        <w:tc>
          <w:tcPr>
            <w:tcBorders>
              <w:top w:color="b4bcc6" w:space="0" w:sz="5" w:val="single"/>
              <w:left w:color="000000" w:space="0" w:sz="0" w:val="nil"/>
              <w:bottom w:color="b4bcc6" w:space="0" w:sz="5" w:val="single"/>
              <w:right w:color="b4bcc6" w:space="0" w:sz="5" w:val="single"/>
            </w:tcBorders>
            <w:shd w:fill="1f3a5e" w:val="clear"/>
            <w:tcMar>
              <w:top w:w="0.0" w:type="dxa"/>
              <w:left w:w="100.0" w:type="dxa"/>
              <w:bottom w:w="0.0" w:type="dxa"/>
              <w:right w:w="100.0" w:type="dxa"/>
            </w:tcMar>
            <w:vAlign w:val="top"/>
          </w:tcPr>
          <w:p w:rsidR="00000000" w:rsidDel="00000000" w:rsidP="00000000" w:rsidRDefault="00000000" w:rsidRPr="00000000" w14:paraId="00000024">
            <w:pPr>
              <w:spacing w:after="20" w:before="2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Por qué</w:t>
            </w:r>
          </w:p>
        </w:tc>
      </w:tr>
      <w:tr>
        <w:trPr>
          <w:cantSplit w:val="0"/>
          <w:trHeight w:val="750" w:hRule="atLeast"/>
          <w:tblHeader w:val="0"/>
        </w:trPr>
        <w:tc>
          <w:tcPr>
            <w:tcBorders>
              <w:top w:color="000000" w:space="0" w:sz="0" w:val="nil"/>
              <w:left w:color="b4bcc6" w:space="0" w:sz="5" w:val="single"/>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25">
            <w:pPr>
              <w:spacing w:after="20" w:before="20" w:line="276" w:lineRule="auto"/>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La app muestra si la persona es más, igual o menos propensa a vender que el promedio, </w:t>
            </w:r>
            <w:r w:rsidDel="00000000" w:rsidR="00000000" w:rsidRPr="00000000">
              <w:rPr>
                <w:rFonts w:ascii="Arial" w:cs="Arial" w:eastAsia="Arial" w:hAnsi="Arial"/>
                <w:b w:val="1"/>
                <w:bCs w:val="1"/>
                <w:sz w:val="18"/>
                <w:szCs w:val="18"/>
                <w:rtl w:val="0"/>
              </w:rPr>
              <w:t xml:space="preserve">nunca un porcentaje</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26">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El modelo aprendió de japoneses y lo usaremos en personas de Colombia. Al cambiar de población, la calibración es lo primero que falla (Van Calster et al., 2019; Riley et al., 2024)</w:t>
            </w:r>
          </w:p>
        </w:tc>
      </w:tr>
      <w:tr>
        <w:trPr>
          <w:cantSplit w:val="0"/>
          <w:trHeight w:val="510" w:hRule="atLeast"/>
          <w:tblHeader w:val="0"/>
        </w:trPr>
        <w:tc>
          <w:tcPr>
            <w:tcBorders>
              <w:top w:color="000000" w:space="0" w:sz="0" w:val="nil"/>
              <w:left w:color="b4bcc6" w:space="0" w:sz="5" w:val="single"/>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27">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Explica el resultado con las respuestas que más pesaron</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28">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La persona debe entender por qué, y saber qué puede aprender</w:t>
            </w:r>
          </w:p>
        </w:tc>
      </w:tr>
      <w:tr>
        <w:trPr>
          <w:cantSplit w:val="0"/>
          <w:trHeight w:val="510" w:hRule="atLeast"/>
          <w:tblHeader w:val="0"/>
        </w:trPr>
        <w:tc>
          <w:tcPr>
            <w:tcBorders>
              <w:top w:color="000000" w:space="0" w:sz="0" w:val="nil"/>
              <w:left w:color="b4bcc6" w:space="0" w:sz="5" w:val="single"/>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29">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Separa «lo que puedes trabajar» (finanzas y confianza) de «tu situación» (edad, sexo, ingreso)</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2A">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Para que el resultado lleve a una acción y no culpe a nadie por lo que no depende de él</w:t>
            </w:r>
          </w:p>
        </w:tc>
      </w:tr>
      <w:tr>
        <w:trPr>
          <w:cantSplit w:val="0"/>
          <w:trHeight w:val="285" w:hRule="atLeast"/>
          <w:tblHeader w:val="0"/>
        </w:trPr>
        <w:tc>
          <w:tcPr>
            <w:tcBorders>
              <w:top w:color="000000" w:space="0" w:sz="0" w:val="nil"/>
              <w:left w:color="b4bcc6" w:space="0" w:sz="5" w:val="single"/>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2B">
            <w:pPr>
              <w:spacing w:after="20" w:before="2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No recomienda comprar ni vender activos</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2C">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BolsaLAB educa; no es asesoría de inversión</w:t>
            </w:r>
          </w:p>
        </w:tc>
      </w:tr>
      <w:tr>
        <w:trPr>
          <w:cantSplit w:val="0"/>
          <w:trHeight w:val="510" w:hRule="atLeast"/>
          <w:tblHeader w:val="0"/>
        </w:trPr>
        <w:tc>
          <w:tcPr>
            <w:tcBorders>
              <w:top w:color="000000" w:space="0" w:sz="0" w:val="nil"/>
              <w:left w:color="b4bcc6" w:space="0" w:sz="5" w:val="single"/>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2D">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Avisa cuando la persona queda fuera de lo que vio el modelo (por ejemplo, una edad fuera de 18 a 93)</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2E">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Fuera de ese rango el modelo no tiene en qué basarse</w:t>
            </w:r>
          </w:p>
        </w:tc>
      </w:tr>
    </w:tbl>
    <w:p w:rsidR="00000000" w:rsidDel="00000000" w:rsidP="00000000" w:rsidRDefault="00000000" w:rsidRPr="00000000" w14:paraId="0000002F">
      <w:pPr>
        <w:spacing w:after="160" w:lineRule="auto"/>
        <w:rPr>
          <w:rFonts w:ascii="Arial" w:cs="Arial" w:eastAsia="Arial" w:hAnsi="Arial"/>
          <w:i w:val="1"/>
          <w:iCs w:val="1"/>
          <w:color w:val="555f6b"/>
          <w:sz w:val="17"/>
          <w:szCs w:val="17"/>
        </w:rPr>
      </w:pPr>
      <w:r w:rsidDel="00000000" w:rsidR="00000000" w:rsidRPr="00000000">
        <w:rPr>
          <w:rFonts w:ascii="Arial" w:cs="Arial" w:eastAsia="Arial" w:hAnsi="Arial"/>
          <w:i w:val="1"/>
          <w:iCs w:val="1"/>
          <w:color w:val="555f6b"/>
          <w:sz w:val="17"/>
          <w:szCs w:val="17"/>
          <w:rtl w:val="0"/>
        </w:rPr>
        <w:t xml:space="preserve">Fuente: elaboración propia.</w:t>
      </w:r>
    </w:p>
    <w:p w:rsidR="00000000" w:rsidDel="00000000" w:rsidP="00000000" w:rsidRDefault="00000000" w:rsidRPr="00000000" w14:paraId="00000030">
      <w:pPr>
        <w:pStyle w:val="Heading1"/>
        <w:keepNext w:val="0"/>
        <w:keepLines w:val="0"/>
        <w:spacing w:before="480" w:lineRule="auto"/>
        <w:rPr>
          <w:rFonts w:ascii="Arial" w:cs="Arial" w:eastAsia="Arial" w:hAnsi="Arial"/>
          <w:color w:val="1b1b1b"/>
          <w:sz w:val="46"/>
          <w:szCs w:val="46"/>
        </w:rPr>
      </w:pPr>
      <w:bookmarkStart w:colFirst="0" w:colLast="0" w:name="_59by3cgyr64k" w:id="1"/>
      <w:bookmarkEnd w:id="1"/>
      <w:r w:rsidDel="00000000" w:rsidR="00000000" w:rsidRPr="00000000">
        <w:rPr>
          <w:rFonts w:ascii="Arial" w:cs="Arial" w:eastAsia="Arial" w:hAnsi="Arial"/>
          <w:rtl w:val="0"/>
        </w:rPr>
        <w:t xml:space="preserve">Tarea 2- Establecer los conjuntos de datos de entrenamiento, test y validación</w:t>
      </w:r>
      <w:r w:rsidDel="00000000" w:rsidR="00000000" w:rsidRPr="00000000">
        <w:rPr>
          <w:rtl w:val="0"/>
        </w:rPr>
      </w:r>
    </w:p>
    <w:p w:rsidR="00000000" w:rsidDel="00000000" w:rsidP="00000000" w:rsidRDefault="00000000" w:rsidRPr="00000000" w14:paraId="00000031">
      <w:pPr>
        <w:jc w:val="both"/>
        <w:rPr>
          <w:rFonts w:ascii="Arial" w:cs="Arial" w:eastAsia="Arial" w:hAnsi="Arial"/>
        </w:rPr>
      </w:pPr>
      <w:r w:rsidDel="00000000" w:rsidR="00000000" w:rsidRPr="00000000">
        <w:rPr>
          <w:rFonts w:ascii="Arial" w:cs="Arial" w:eastAsia="Arial" w:hAnsi="Arial"/>
          <w:rtl w:val="0"/>
        </w:rPr>
        <w:t xml:space="preserve"> En el ciclo 2 dejamos lista la tabla para entrenar: 54.704 inversionistas japoneses de la encuesta de Bawalle, Khan y Kadoya (2025) sobre la caída de marzo de 2020, con 17 variables (una por pregunta de la app) y una columna que dice si vendieron o mantuvieron. También dejamos escritas las reglas para entrenar y medir los modelos. En este ciclo las aplicamos</w:t>
      </w:r>
      <w:r w:rsidDel="00000000" w:rsidR="00000000" w:rsidRPr="00000000">
        <w:rPr>
          <w:rFonts w:ascii="Arial" w:cs="Arial" w:eastAsia="Arial" w:hAnsi="Arial"/>
          <w:rtl w:val="0"/>
        </w:rPr>
        <w:t xml:space="preserve">:</w:t>
      </w:r>
    </w:p>
    <w:p w:rsidR="00000000" w:rsidDel="00000000" w:rsidP="00000000" w:rsidRDefault="00000000" w:rsidRPr="00000000" w14:paraId="00000032">
      <w:pPr>
        <w:jc w:val="both"/>
        <w:rPr>
          <w:rFonts w:ascii="Arial" w:cs="Arial" w:eastAsia="Arial" w:hAnsi="Arial"/>
        </w:rPr>
      </w:pPr>
      <w:hyperlink r:id="rId6">
        <w:r w:rsidDel="00000000" w:rsidR="00000000" w:rsidRPr="00000000">
          <w:rPr>
            <w:rFonts w:ascii="Arial" w:cs="Arial" w:eastAsia="Arial" w:hAnsi="Arial"/>
            <w:color w:val="1155cc"/>
            <w:u w:val="single"/>
            <w:rtl w:val="0"/>
          </w:rPr>
          <w:t xml:space="preserve">https://github.com/EspecializacionIA1/bolsalab/blob/main/docs/protocolo-evaluacion.md</w:t>
        </w:r>
      </w:hyperlink>
      <w:r w:rsidDel="00000000" w:rsidR="00000000" w:rsidRPr="00000000">
        <w:rPr>
          <w:rtl w:val="0"/>
        </w:rPr>
      </w:r>
    </w:p>
    <w:p w:rsidR="00000000" w:rsidDel="00000000" w:rsidP="00000000" w:rsidRDefault="00000000" w:rsidRPr="00000000" w14:paraId="00000033">
      <w:pPr>
        <w:pStyle w:val="Heading2"/>
        <w:keepNext w:val="0"/>
        <w:keepLines w:val="0"/>
        <w:spacing w:after="80" w:before="360" w:lineRule="auto"/>
        <w:rPr>
          <w:rFonts w:ascii="Arial" w:cs="Arial" w:eastAsia="Arial" w:hAnsi="Arial"/>
          <w:color w:val="1b1b1b"/>
          <w:sz w:val="34"/>
          <w:szCs w:val="34"/>
        </w:rPr>
      </w:pPr>
      <w:bookmarkStart w:colFirst="0" w:colLast="0" w:name="_22772l1c7p3l" w:id="2"/>
      <w:bookmarkEnd w:id="2"/>
      <w:r w:rsidDel="00000000" w:rsidR="00000000" w:rsidRPr="00000000">
        <w:rPr>
          <w:rFonts w:ascii="Arial" w:cs="Arial" w:eastAsia="Arial" w:hAnsi="Arial"/>
          <w:rtl w:val="0"/>
        </w:rPr>
        <w:t xml:space="preserve">2.1 Cambio frente al plan del Módulo 1</w:t>
      </w:r>
      <w:r w:rsidDel="00000000" w:rsidR="00000000" w:rsidRPr="00000000">
        <w:rPr>
          <w:rtl w:val="0"/>
        </w:rPr>
      </w:r>
    </w:p>
    <w:p w:rsidR="00000000" w:rsidDel="00000000" w:rsidP="00000000" w:rsidRDefault="00000000" w:rsidRPr="00000000" w14:paraId="00000034">
      <w:pPr>
        <w:jc w:val="both"/>
        <w:rPr>
          <w:rFonts w:ascii="Arial" w:cs="Arial" w:eastAsia="Arial" w:hAnsi="Arial"/>
        </w:rPr>
      </w:pPr>
      <w:r w:rsidDel="00000000" w:rsidR="00000000" w:rsidRPr="00000000">
        <w:rPr>
          <w:rFonts w:ascii="Arial" w:cs="Arial" w:eastAsia="Arial" w:hAnsi="Arial"/>
          <w:rtl w:val="0"/>
        </w:rPr>
        <w:t xml:space="preserve">En el Módulo 1 íbamos a clasificar perfiles de riesgo, pero en el estado del arte del ciclo 2 vimos que no hay datos abiertos de colombianos para eso. Sí hay datos reales para otra pregunta: ¿quién vende cuando la bolsa cae? Así que el modelo ahora predice si una persona vende o mantiene, y lo medimos con el AUROC, que funciona bien aunque solo el 20 % haya vendido y nos deja compararnos con Elkind et al. (2022). Las tareas del sprint son las mismas del plan</w:t>
      </w:r>
      <w:r w:rsidDel="00000000" w:rsidR="00000000" w:rsidRPr="00000000">
        <w:rPr>
          <w:rFonts w:ascii="Arial" w:cs="Arial" w:eastAsia="Arial" w:hAnsi="Arial"/>
          <w:rtl w:val="0"/>
        </w:rPr>
        <w:t xml:space="preserve">.</w:t>
      </w:r>
    </w:p>
    <w:p w:rsidR="00000000" w:rsidDel="00000000" w:rsidP="00000000" w:rsidRDefault="00000000" w:rsidRPr="00000000" w14:paraId="00000035">
      <w:pPr>
        <w:pStyle w:val="Heading2"/>
        <w:keepNext w:val="0"/>
        <w:keepLines w:val="0"/>
        <w:spacing w:after="80" w:before="360" w:lineRule="auto"/>
        <w:rPr>
          <w:rFonts w:ascii="Arial" w:cs="Arial" w:eastAsia="Arial" w:hAnsi="Arial"/>
          <w:color w:val="1b1b1b"/>
          <w:sz w:val="34"/>
          <w:szCs w:val="34"/>
        </w:rPr>
      </w:pPr>
      <w:bookmarkStart w:colFirst="0" w:colLast="0" w:name="_dimiyzzdybug" w:id="3"/>
      <w:bookmarkEnd w:id="3"/>
      <w:r w:rsidDel="00000000" w:rsidR="00000000" w:rsidRPr="00000000">
        <w:rPr>
          <w:rFonts w:ascii="Arial" w:cs="Arial" w:eastAsia="Arial" w:hAnsi="Arial"/>
          <w:rtl w:val="0"/>
        </w:rPr>
        <w:t xml:space="preserve">2.2 Partición 80/20</w:t>
      </w:r>
      <w:r w:rsidDel="00000000" w:rsidR="00000000" w:rsidRPr="00000000">
        <w:rPr>
          <w:rtl w:val="0"/>
        </w:rPr>
      </w:r>
    </w:p>
    <w:p w:rsidR="00000000" w:rsidDel="00000000" w:rsidP="00000000" w:rsidRDefault="00000000" w:rsidRPr="00000000" w14:paraId="00000036">
      <w:pPr>
        <w:jc w:val="both"/>
        <w:rPr>
          <w:rFonts w:ascii="Arial" w:cs="Arial" w:eastAsia="Arial" w:hAnsi="Arial"/>
        </w:rPr>
      </w:pPr>
      <w:r w:rsidDel="00000000" w:rsidR="00000000" w:rsidRPr="00000000">
        <w:rPr>
          <w:rFonts w:ascii="Arial" w:cs="Arial" w:eastAsia="Arial" w:hAnsi="Arial"/>
          <w:rtl w:val="0"/>
        </w:rPr>
        <w:t xml:space="preserve">Antes de entrenar, guardamos el 20 % de las personas para la prueba final, con la misma proporción de ventas y la semilla 42 para que todos usemos las mismas personas. Nadie la mira mientras elegimos el modelo. Solo la usamos una vez, con el modelo final, en el ciclo 4.</w:t>
      </w:r>
      <w:r w:rsidDel="00000000" w:rsidR="00000000" w:rsidRPr="00000000">
        <w:rPr>
          <w:rtl w:val="0"/>
        </w:rPr>
      </w:r>
    </w:p>
    <w:p w:rsidR="00000000" w:rsidDel="00000000" w:rsidP="00000000" w:rsidRDefault="00000000" w:rsidRPr="00000000" w14:paraId="00000037">
      <w:pPr>
        <w:jc w:val="both"/>
        <w:rPr>
          <w:rFonts w:ascii="Arial" w:cs="Arial" w:eastAsia="Arial" w:hAnsi="Arial"/>
        </w:rPr>
      </w:pPr>
      <w:r w:rsidDel="00000000" w:rsidR="00000000" w:rsidRPr="00000000">
        <w:rPr>
          <w:rtl w:val="0"/>
        </w:rPr>
      </w:r>
    </w:p>
    <w:p w:rsidR="00000000" w:rsidDel="00000000" w:rsidP="00000000" w:rsidRDefault="00000000" w:rsidRPr="00000000" w14:paraId="00000038">
      <w:pPr>
        <w:spacing w:after="60" w:before="120" w:lineRule="auto"/>
        <w:rPr>
          <w:rFonts w:ascii="Arial" w:cs="Arial" w:eastAsia="Arial" w:hAnsi="Arial"/>
          <w:color w:val="1f3a5e"/>
          <w:sz w:val="19"/>
          <w:szCs w:val="19"/>
        </w:rPr>
      </w:pPr>
      <w:r w:rsidDel="00000000" w:rsidR="00000000" w:rsidRPr="00000000">
        <w:rPr>
          <w:rFonts w:ascii="Arial" w:cs="Arial" w:eastAsia="Arial" w:hAnsi="Arial"/>
          <w:b w:val="1"/>
          <w:bCs w:val="1"/>
          <w:color w:val="1f3a5e"/>
          <w:sz w:val="19"/>
          <w:szCs w:val="19"/>
          <w:rtl w:val="0"/>
        </w:rPr>
        <w:t xml:space="preserve">Tabla 2. </w:t>
      </w:r>
      <w:r w:rsidDel="00000000" w:rsidR="00000000" w:rsidRPr="00000000">
        <w:rPr>
          <w:rFonts w:ascii="Arial" w:cs="Arial" w:eastAsia="Arial" w:hAnsi="Arial"/>
          <w:color w:val="1f3a5e"/>
          <w:sz w:val="19"/>
          <w:szCs w:val="19"/>
          <w:rtl w:val="0"/>
        </w:rPr>
        <w:t xml:space="preserve">Partición de la encuesta japonesa.</w:t>
      </w:r>
    </w:p>
    <w:tbl>
      <w:tblPr>
        <w:tblStyle w:val="Table2"/>
        <w:tblW w:w="974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3.984615384615"/>
        <w:gridCol w:w="2414.0092307692307"/>
        <w:gridCol w:w="2429.003076923077"/>
        <w:gridCol w:w="2429.003076923077"/>
        <w:tblGridChange w:id="0">
          <w:tblGrid>
            <w:gridCol w:w="2473.984615384615"/>
            <w:gridCol w:w="2414.0092307692307"/>
            <w:gridCol w:w="2429.003076923077"/>
            <w:gridCol w:w="2429.003076923077"/>
          </w:tblGrid>
        </w:tblGridChange>
      </w:tblGrid>
      <w:tr>
        <w:trPr>
          <w:cantSplit w:val="0"/>
          <w:trHeight w:val="285" w:hRule="atLeast"/>
          <w:tblHeader w:val="0"/>
        </w:trPr>
        <w:tc>
          <w:tcPr>
            <w:tcBorders>
              <w:top w:color="b4bcc6" w:space="0" w:sz="5" w:val="single"/>
              <w:left w:color="b4bcc6" w:space="0" w:sz="5" w:val="single"/>
              <w:bottom w:color="b4bcc6" w:space="0" w:sz="5" w:val="single"/>
              <w:right w:color="b4bcc6" w:space="0" w:sz="5" w:val="single"/>
            </w:tcBorders>
            <w:shd w:fill="1f3a5e" w:val="clear"/>
            <w:tcMar>
              <w:top w:w="0.0" w:type="dxa"/>
              <w:left w:w="100.0" w:type="dxa"/>
              <w:bottom w:w="0.0" w:type="dxa"/>
              <w:right w:w="100.0" w:type="dxa"/>
            </w:tcMar>
            <w:vAlign w:val="top"/>
          </w:tcPr>
          <w:p w:rsidR="00000000" w:rsidDel="00000000" w:rsidP="00000000" w:rsidRDefault="00000000" w:rsidRPr="00000000" w14:paraId="00000039">
            <w:pPr>
              <w:spacing w:after="20" w:before="2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Conjunto</w:t>
            </w:r>
          </w:p>
        </w:tc>
        <w:tc>
          <w:tcPr>
            <w:tcBorders>
              <w:top w:color="b4bcc6" w:space="0" w:sz="5" w:val="single"/>
              <w:left w:color="000000" w:space="0" w:sz="0" w:val="nil"/>
              <w:bottom w:color="b4bcc6" w:space="0" w:sz="5" w:val="single"/>
              <w:right w:color="b4bcc6" w:space="0" w:sz="5" w:val="single"/>
            </w:tcBorders>
            <w:shd w:fill="1f3a5e" w:val="clear"/>
            <w:tcMar>
              <w:top w:w="0.0" w:type="dxa"/>
              <w:left w:w="100.0" w:type="dxa"/>
              <w:bottom w:w="0.0" w:type="dxa"/>
              <w:right w:w="100.0" w:type="dxa"/>
            </w:tcMar>
            <w:vAlign w:val="top"/>
          </w:tcPr>
          <w:p w:rsidR="00000000" w:rsidDel="00000000" w:rsidP="00000000" w:rsidRDefault="00000000" w:rsidRPr="00000000" w14:paraId="0000003A">
            <w:pPr>
              <w:spacing w:after="20" w:before="2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Personas</w:t>
            </w:r>
          </w:p>
        </w:tc>
        <w:tc>
          <w:tcPr>
            <w:tcBorders>
              <w:top w:color="b4bcc6" w:space="0" w:sz="5" w:val="single"/>
              <w:left w:color="000000" w:space="0" w:sz="0" w:val="nil"/>
              <w:bottom w:color="b4bcc6" w:space="0" w:sz="5" w:val="single"/>
              <w:right w:color="b4bcc6" w:space="0" w:sz="5" w:val="single"/>
            </w:tcBorders>
            <w:shd w:fill="1f3a5e" w:val="clear"/>
            <w:tcMar>
              <w:top w:w="0.0" w:type="dxa"/>
              <w:left w:w="100.0" w:type="dxa"/>
              <w:bottom w:w="0.0" w:type="dxa"/>
              <w:right w:w="100.0" w:type="dxa"/>
            </w:tcMar>
            <w:vAlign w:val="top"/>
          </w:tcPr>
          <w:p w:rsidR="00000000" w:rsidDel="00000000" w:rsidP="00000000" w:rsidRDefault="00000000" w:rsidRPr="00000000" w14:paraId="0000003B">
            <w:pPr>
              <w:spacing w:after="20" w:before="2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Vendieron</w:t>
            </w:r>
          </w:p>
        </w:tc>
        <w:tc>
          <w:tcPr>
            <w:tcBorders>
              <w:top w:color="b4bcc6" w:space="0" w:sz="5" w:val="single"/>
              <w:left w:color="000000" w:space="0" w:sz="0" w:val="nil"/>
              <w:bottom w:color="b4bcc6" w:space="0" w:sz="5" w:val="single"/>
              <w:right w:color="b4bcc6" w:space="0" w:sz="5" w:val="single"/>
            </w:tcBorders>
            <w:shd w:fill="1f3a5e" w:val="clear"/>
            <w:tcMar>
              <w:top w:w="0.0" w:type="dxa"/>
              <w:left w:w="100.0" w:type="dxa"/>
              <w:bottom w:w="0.0" w:type="dxa"/>
              <w:right w:w="100.0" w:type="dxa"/>
            </w:tcMar>
            <w:vAlign w:val="top"/>
          </w:tcPr>
          <w:p w:rsidR="00000000" w:rsidDel="00000000" w:rsidP="00000000" w:rsidRDefault="00000000" w:rsidRPr="00000000" w14:paraId="0000003C">
            <w:pPr>
              <w:spacing w:after="20" w:before="2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Proporción</w:t>
            </w:r>
          </w:p>
        </w:tc>
      </w:tr>
      <w:tr>
        <w:trPr>
          <w:cantSplit w:val="0"/>
          <w:trHeight w:val="285" w:hRule="atLeast"/>
          <w:tblHeader w:val="0"/>
        </w:trPr>
        <w:tc>
          <w:tcPr>
            <w:tcBorders>
              <w:top w:color="000000" w:space="0" w:sz="0" w:val="nil"/>
              <w:left w:color="b4bcc6" w:space="0" w:sz="5" w:val="single"/>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3D">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Entrenamiento (80 %)</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3E">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43.763</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3F">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8.695</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40">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19,87 %</w:t>
            </w:r>
          </w:p>
        </w:tc>
      </w:tr>
      <w:tr>
        <w:trPr>
          <w:cantSplit w:val="0"/>
          <w:trHeight w:val="285" w:hRule="atLeast"/>
          <w:tblHeader w:val="0"/>
        </w:trPr>
        <w:tc>
          <w:tcPr>
            <w:tcBorders>
              <w:top w:color="000000" w:space="0" w:sz="0" w:val="nil"/>
              <w:left w:color="b4bcc6" w:space="0" w:sz="5" w:val="single"/>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41">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Prueba final (20 %)</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42">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10.941</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43">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2.174</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44">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19,87 %</w:t>
            </w:r>
          </w:p>
        </w:tc>
      </w:tr>
      <w:tr>
        <w:trPr>
          <w:cantSplit w:val="0"/>
          <w:trHeight w:val="285" w:hRule="atLeast"/>
          <w:tblHeader w:val="0"/>
        </w:trPr>
        <w:tc>
          <w:tcPr>
            <w:tcBorders>
              <w:top w:color="000000" w:space="0" w:sz="0" w:val="nil"/>
              <w:left w:color="b4bcc6" w:space="0" w:sz="5" w:val="single"/>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45">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Total</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46">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54.704</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47">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10.869</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48">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19,87 %</w:t>
            </w:r>
          </w:p>
        </w:tc>
      </w:tr>
    </w:tbl>
    <w:p w:rsidR="00000000" w:rsidDel="00000000" w:rsidP="00000000" w:rsidRDefault="00000000" w:rsidRPr="00000000" w14:paraId="00000049">
      <w:pPr>
        <w:spacing w:after="160" w:lineRule="auto"/>
        <w:rPr>
          <w:rFonts w:ascii="Arial" w:cs="Arial" w:eastAsia="Arial" w:hAnsi="Arial"/>
          <w:i w:val="1"/>
          <w:iCs w:val="1"/>
          <w:color w:val="555f6b"/>
          <w:sz w:val="17"/>
          <w:szCs w:val="17"/>
        </w:rPr>
      </w:pPr>
      <w:r w:rsidDel="00000000" w:rsidR="00000000" w:rsidRPr="00000000">
        <w:rPr>
          <w:rFonts w:ascii="Arial" w:cs="Arial" w:eastAsia="Arial" w:hAnsi="Arial"/>
          <w:i w:val="1"/>
          <w:iCs w:val="1"/>
          <w:color w:val="555f6b"/>
          <w:sz w:val="17"/>
          <w:szCs w:val="17"/>
          <w:rtl w:val="0"/>
        </w:rPr>
        <w:t xml:space="preserve">Fuente: elaboración propia.</w:t>
      </w:r>
    </w:p>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rtl w:val="0"/>
        </w:rPr>
        <w:t xml:space="preserve">Código: función split_data en bolsalab/modeling/train.py. Regla: sección 4 de docs/</w:t>
      </w:r>
      <w:hyperlink r:id="rId7">
        <w:r w:rsidDel="00000000" w:rsidR="00000000" w:rsidRPr="00000000">
          <w:rPr>
            <w:rFonts w:ascii="Arial" w:cs="Arial" w:eastAsia="Arial" w:hAnsi="Arial"/>
            <w:color w:val="1155cc"/>
            <w:u w:val="single"/>
            <w:rtl w:val="0"/>
          </w:rPr>
          <w:t xml:space="preserve">protocolo-evaluacion.md</w:t>
        </w:r>
      </w:hyperlink>
      <w:r w:rsidDel="00000000" w:rsidR="00000000" w:rsidRPr="00000000">
        <w:rPr>
          <w:rFonts w:ascii="Arial" w:cs="Arial" w:eastAsia="Arial" w:hAnsi="Arial"/>
          <w:rtl w:val="0"/>
        </w:rPr>
        <w:t xml:space="preserve">.</w:t>
      </w:r>
    </w:p>
    <w:p w:rsidR="00000000" w:rsidDel="00000000" w:rsidP="00000000" w:rsidRDefault="00000000" w:rsidRPr="00000000" w14:paraId="0000004B">
      <w:pPr>
        <w:rPr>
          <w:rFonts w:ascii="Arial" w:cs="Arial" w:eastAsia="Arial" w:hAnsi="Arial"/>
        </w:rPr>
      </w:pPr>
      <w:r w:rsidDel="00000000" w:rsidR="00000000" w:rsidRPr="00000000">
        <w:rPr>
          <w:rtl w:val="0"/>
        </w:rPr>
      </w:r>
    </w:p>
    <w:p w:rsidR="00000000" w:rsidDel="00000000" w:rsidP="00000000" w:rsidRDefault="00000000" w:rsidRPr="00000000" w14:paraId="0000004C">
      <w:pPr>
        <w:rPr>
          <w:rFonts w:ascii="Arial" w:cs="Arial" w:eastAsia="Arial" w:hAnsi="Arial"/>
        </w:rPr>
      </w:pPr>
      <w:r w:rsidDel="00000000" w:rsidR="00000000" w:rsidRPr="00000000">
        <w:rPr>
          <w:rtl w:val="0"/>
        </w:rPr>
      </w:r>
    </w:p>
    <w:p w:rsidR="00000000" w:rsidDel="00000000" w:rsidP="00000000" w:rsidRDefault="00000000" w:rsidRPr="00000000" w14:paraId="0000004D">
      <w:pPr>
        <w:pStyle w:val="Heading2"/>
        <w:keepNext w:val="0"/>
        <w:keepLines w:val="0"/>
        <w:spacing w:after="80" w:before="360" w:lineRule="auto"/>
        <w:rPr>
          <w:rFonts w:ascii="Arial" w:cs="Arial" w:eastAsia="Arial" w:hAnsi="Arial"/>
          <w:color w:val="1b1b1b"/>
          <w:sz w:val="34"/>
          <w:szCs w:val="34"/>
        </w:rPr>
      </w:pPr>
      <w:bookmarkStart w:colFirst="0" w:colLast="0" w:name="_2obsrnmklp8e" w:id="4"/>
      <w:bookmarkEnd w:id="4"/>
      <w:r w:rsidDel="00000000" w:rsidR="00000000" w:rsidRPr="00000000">
        <w:rPr>
          <w:rFonts w:ascii="Arial" w:cs="Arial" w:eastAsia="Arial" w:hAnsi="Arial"/>
          <w:rtl w:val="0"/>
        </w:rPr>
        <w:t xml:space="preserve">2.3 Validación cruzada anidada 5 × 3</w:t>
      </w:r>
      <w:r w:rsidDel="00000000" w:rsidR="00000000" w:rsidRPr="00000000">
        <w:rPr>
          <w:rtl w:val="0"/>
        </w:rPr>
      </w:r>
    </w:p>
    <w:p w:rsidR="00000000" w:rsidDel="00000000" w:rsidP="00000000" w:rsidRDefault="00000000" w:rsidRPr="00000000" w14:paraId="0000004E">
      <w:pPr>
        <w:spacing w:after="60" w:lineRule="auto"/>
        <w:ind w:left="0" w:firstLine="0"/>
        <w:jc w:val="both"/>
        <w:rPr>
          <w:rFonts w:ascii="Arial" w:cs="Arial" w:eastAsia="Arial" w:hAnsi="Arial"/>
        </w:rPr>
      </w:pPr>
      <w:r w:rsidDel="00000000" w:rsidR="00000000" w:rsidRPr="00000000">
        <w:rPr>
          <w:rFonts w:ascii="Arial" w:cs="Arial" w:eastAsia="Arial" w:hAnsi="Arial"/>
          <w:rtl w:val="0"/>
        </w:rPr>
        <w:t xml:space="preserve">Con el 80 % usamos validación anidada. Dividimos los datos en 5 partes: el modelo aprende con 4 y</w:t>
      </w:r>
    </w:p>
    <w:p w:rsidR="00000000" w:rsidDel="00000000" w:rsidP="00000000" w:rsidRDefault="00000000" w:rsidRPr="00000000" w14:paraId="0000004F">
      <w:pPr>
        <w:spacing w:after="60" w:lineRule="auto"/>
        <w:ind w:left="0" w:firstLine="0"/>
        <w:jc w:val="both"/>
        <w:rPr>
          <w:rFonts w:ascii="Arial" w:cs="Arial" w:eastAsia="Arial" w:hAnsi="Arial"/>
        </w:rPr>
      </w:pPr>
      <w:r w:rsidDel="00000000" w:rsidR="00000000" w:rsidRPr="00000000">
        <w:rPr>
          <w:rFonts w:ascii="Arial" w:cs="Arial" w:eastAsia="Arial" w:hAnsi="Arial"/>
          <w:rtl w:val="0"/>
        </w:rPr>
        <w:t xml:space="preserve">lo medimos con la que sobra, y repetimos hasta que cada parte sirve una vez para medir. Dentro de</w:t>
      </w:r>
    </w:p>
    <w:p w:rsidR="00000000" w:rsidDel="00000000" w:rsidP="00000000" w:rsidRDefault="00000000" w:rsidRPr="00000000" w14:paraId="00000050">
      <w:pPr>
        <w:spacing w:after="60" w:lineRule="auto"/>
        <w:ind w:left="0" w:firstLine="0"/>
        <w:jc w:val="both"/>
        <w:rPr>
          <w:rFonts w:ascii="Arial" w:cs="Arial" w:eastAsia="Arial" w:hAnsi="Arial"/>
        </w:rPr>
      </w:pPr>
      <w:r w:rsidDel="00000000" w:rsidR="00000000" w:rsidRPr="00000000">
        <w:rPr>
          <w:rFonts w:ascii="Arial" w:cs="Arial" w:eastAsia="Arial" w:hAnsi="Arial"/>
          <w:rtl w:val="0"/>
        </w:rPr>
        <w:t xml:space="preserve">las 4 partes de aprendizaje hacemos otra división en 3 para elegir los ajustes del modelo (por</w:t>
      </w:r>
    </w:p>
    <w:p w:rsidR="00000000" w:rsidDel="00000000" w:rsidP="00000000" w:rsidRDefault="00000000" w:rsidRPr="00000000" w14:paraId="00000051">
      <w:pPr>
        <w:spacing w:after="60" w:lineRule="auto"/>
        <w:ind w:left="0" w:firstLine="0"/>
        <w:jc w:val="both"/>
        <w:rPr>
          <w:rFonts w:ascii="Arial" w:cs="Arial" w:eastAsia="Arial" w:hAnsi="Arial"/>
        </w:rPr>
      </w:pPr>
      <w:r w:rsidDel="00000000" w:rsidR="00000000" w:rsidRPr="00000000">
        <w:rPr>
          <w:rFonts w:ascii="Arial" w:cs="Arial" w:eastAsia="Arial" w:hAnsi="Arial"/>
          <w:rtl w:val="0"/>
        </w:rPr>
        <w:t xml:space="preserve">ejemplo, qué tan profundo es cada árbol). Así, los datos con que medimos nunca se usan para</w:t>
      </w:r>
    </w:p>
    <w:p w:rsidR="00000000" w:rsidDel="00000000" w:rsidP="00000000" w:rsidRDefault="00000000" w:rsidRPr="00000000" w14:paraId="00000052">
      <w:pPr>
        <w:spacing w:after="60" w:lineRule="auto"/>
        <w:ind w:left="0" w:firstLine="0"/>
        <w:jc w:val="both"/>
        <w:rPr>
          <w:rFonts w:ascii="Arial" w:cs="Arial" w:eastAsia="Arial" w:hAnsi="Arial"/>
        </w:rPr>
      </w:pPr>
      <w:r w:rsidDel="00000000" w:rsidR="00000000" w:rsidRPr="00000000">
        <w:rPr>
          <w:rFonts w:ascii="Arial" w:cs="Arial" w:eastAsia="Arial" w:hAnsi="Arial"/>
          <w:rtl w:val="0"/>
        </w:rPr>
        <w:t xml:space="preserve">elegir, y el resultado no sale mejor de lo que es (Varma y Simon, 2006; Cawley y Talbot, 2010).</w:t>
      </w:r>
    </w:p>
    <w:p w:rsidR="00000000" w:rsidDel="00000000" w:rsidP="00000000" w:rsidRDefault="00000000" w:rsidRPr="00000000" w14:paraId="00000053">
      <w:pPr>
        <w:spacing w:after="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54">
      <w:pPr>
        <w:numPr>
          <w:ilvl w:val="0"/>
          <w:numId w:val="6"/>
        </w:numPr>
        <w:spacing w:after="0" w:after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 Todos los modelos usan las mismas 5 partes, para que compitan en igualdad.</w:t>
      </w:r>
    </w:p>
    <w:p w:rsidR="00000000" w:rsidDel="00000000" w:rsidP="00000000" w:rsidRDefault="00000000" w:rsidRPr="00000000" w14:paraId="00000055">
      <w:pPr>
        <w:numPr>
          <w:ilvl w:val="0"/>
          <w:numId w:val="6"/>
        </w:numPr>
        <w:spacing w:after="0" w:after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 El escalado se calcula solo con los datos de aprendizaje. Escalar es poner las variables en una medida parecida (la edad va de 18 a 94 y las preguntas de 0 a 1). Si se calcula con todos los datos, el modelo ve sin querer algo de los datos de prueba (Kapoor y Narayanan, 2023).</w:t>
      </w:r>
    </w:p>
    <w:p w:rsidR="00000000" w:rsidDel="00000000" w:rsidP="00000000" w:rsidRDefault="00000000" w:rsidRPr="00000000" w14:paraId="00000056">
      <w:pPr>
        <w:numPr>
          <w:ilvl w:val="0"/>
          <w:numId w:val="6"/>
        </w:numPr>
        <w:spacing w:after="60" w:lineRule="auto"/>
        <w:ind w:left="720" w:hanging="360"/>
        <w:rPr>
          <w:rFonts w:ascii="Arial" w:cs="Arial" w:eastAsia="Arial" w:hAnsi="Arial"/>
          <w:u w:val="none"/>
        </w:rPr>
      </w:pPr>
      <w:r w:rsidDel="00000000" w:rsidR="00000000" w:rsidRPr="00000000">
        <w:rPr>
          <w:rFonts w:ascii="Arial" w:cs="Arial" w:eastAsia="Arial" w:hAnsi="Arial"/>
          <w:rtl w:val="0"/>
        </w:rPr>
        <w:t xml:space="preserve"> No "emparejamos" las clases. Solo el 20 % vendió. Hay técnicas para que el modelo vea más casos de venta: SMOTE inventa personas parecidas a las que vendieron, y los pesos por clase hacen que cada venta cuente más. No las usamos porque, según van den Goorbergh et al. (2022), no mejoran el AUROC y hacen que el modelo exagere la probabilidad de vender.</w:t>
      </w:r>
    </w:p>
    <w:p w:rsidR="00000000" w:rsidDel="00000000" w:rsidP="00000000" w:rsidRDefault="00000000" w:rsidRPr="00000000" w14:paraId="00000057">
      <w:pPr>
        <w:spacing w:after="6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58">
      <w:pPr>
        <w:pStyle w:val="Heading2"/>
        <w:keepNext w:val="0"/>
        <w:keepLines w:val="0"/>
        <w:spacing w:after="80" w:before="360" w:lineRule="auto"/>
        <w:rPr>
          <w:rFonts w:ascii="Arial" w:cs="Arial" w:eastAsia="Arial" w:hAnsi="Arial"/>
          <w:color w:val="1b1b1b"/>
          <w:sz w:val="34"/>
          <w:szCs w:val="34"/>
        </w:rPr>
      </w:pPr>
      <w:bookmarkStart w:colFirst="0" w:colLast="0" w:name="_lz94cm2tsdza" w:id="5"/>
      <w:bookmarkEnd w:id="5"/>
      <w:r w:rsidDel="00000000" w:rsidR="00000000" w:rsidRPr="00000000">
        <w:rPr>
          <w:rFonts w:ascii="Arial" w:cs="Arial" w:eastAsia="Arial" w:hAnsi="Arial"/>
          <w:rtl w:val="0"/>
        </w:rPr>
        <w:t xml:space="preserve">2.4 Prueba externa en EE. UU. con la NFCS 2018</w:t>
      </w:r>
      <w:r w:rsidDel="00000000" w:rsidR="00000000" w:rsidRPr="00000000">
        <w:rPr>
          <w:rtl w:val="0"/>
        </w:rPr>
      </w:r>
    </w:p>
    <w:p w:rsidR="00000000" w:rsidDel="00000000" w:rsidP="00000000" w:rsidRDefault="00000000" w:rsidRPr="00000000" w14:paraId="00000059">
      <w:pPr>
        <w:jc w:val="both"/>
        <w:rPr>
          <w:rFonts w:ascii="Arial" w:cs="Arial" w:eastAsia="Arial" w:hAnsi="Arial"/>
        </w:rPr>
      </w:pPr>
      <w:r w:rsidDel="00000000" w:rsidR="00000000" w:rsidRPr="00000000">
        <w:rPr>
          <w:rFonts w:ascii="Arial" w:cs="Arial" w:eastAsia="Arial" w:hAnsi="Arial"/>
          <w:rtl w:val="0"/>
        </w:rPr>
        <w:t xml:space="preserve">La NFCS es una encuesta de Estados Unidos que les preguntó a inversionistas qué hicieron en la caída de febrero de 2018, con las mismas tres preguntas de finanzas que usa Japón. La usamos para probar si el modelo funciona fuera de Japón.</w:t>
      </w:r>
    </w:p>
    <w:p w:rsidR="00000000" w:rsidDel="00000000" w:rsidP="00000000" w:rsidRDefault="00000000" w:rsidRPr="00000000" w14:paraId="0000005A">
      <w:pPr>
        <w:jc w:val="both"/>
        <w:rPr>
          <w:rFonts w:ascii="Arial" w:cs="Arial" w:eastAsia="Arial" w:hAnsi="Arial"/>
        </w:rPr>
      </w:pPr>
      <w:r w:rsidDel="00000000" w:rsidR="00000000" w:rsidRPr="00000000">
        <w:rPr>
          <w:rtl w:val="0"/>
        </w:rPr>
      </w:r>
    </w:p>
    <w:p w:rsidR="00000000" w:rsidDel="00000000" w:rsidP="00000000" w:rsidRDefault="00000000" w:rsidRPr="00000000" w14:paraId="0000005B">
      <w:pPr>
        <w:spacing w:after="60" w:before="120" w:lineRule="auto"/>
        <w:rPr>
          <w:rFonts w:ascii="Arial" w:cs="Arial" w:eastAsia="Arial" w:hAnsi="Arial"/>
          <w:color w:val="1f3a5e"/>
          <w:sz w:val="19"/>
          <w:szCs w:val="19"/>
        </w:rPr>
      </w:pPr>
      <w:r w:rsidDel="00000000" w:rsidR="00000000" w:rsidRPr="00000000">
        <w:rPr>
          <w:rFonts w:ascii="Arial" w:cs="Arial" w:eastAsia="Arial" w:hAnsi="Arial"/>
          <w:b w:val="1"/>
          <w:bCs w:val="1"/>
          <w:color w:val="1f3a5e"/>
          <w:sz w:val="19"/>
          <w:szCs w:val="19"/>
          <w:rtl w:val="0"/>
        </w:rPr>
        <w:t xml:space="preserve">Tabla 3. </w:t>
      </w:r>
      <w:r w:rsidDel="00000000" w:rsidR="00000000" w:rsidRPr="00000000">
        <w:rPr>
          <w:rFonts w:ascii="Arial" w:cs="Arial" w:eastAsia="Arial" w:hAnsi="Arial"/>
          <w:color w:val="1f3a5e"/>
          <w:sz w:val="19"/>
          <w:szCs w:val="19"/>
          <w:rtl w:val="0"/>
        </w:rPr>
        <w:t xml:space="preserve">La NFCS 2018 frente a la encuesta japonesa.</w:t>
      </w:r>
    </w:p>
    <w:tbl>
      <w:tblPr>
        <w:tblStyle w:val="Table3"/>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3255"/>
        <w:gridCol w:w="3255"/>
        <w:tblGridChange w:id="0">
          <w:tblGrid>
            <w:gridCol w:w="3225"/>
            <w:gridCol w:w="3255"/>
            <w:gridCol w:w="3255"/>
          </w:tblGrid>
        </w:tblGridChange>
      </w:tblGrid>
      <w:tr>
        <w:trPr>
          <w:cantSplit w:val="0"/>
          <w:trHeight w:val="315" w:hRule="atLeast"/>
          <w:tblHeader w:val="0"/>
        </w:trPr>
        <w:tc>
          <w:tcPr>
            <w:tcBorders>
              <w:top w:color="b4bcc6" w:space="0" w:sz="5" w:val="single"/>
              <w:left w:color="b4bcc6" w:space="0" w:sz="5" w:val="single"/>
              <w:bottom w:color="b4bcc6" w:space="0" w:sz="5" w:val="single"/>
              <w:right w:color="b4bcc6" w:space="0" w:sz="5" w:val="single"/>
            </w:tcBorders>
            <w:shd w:fill="1f3a5e" w:val="clear"/>
            <w:tcMar>
              <w:top w:w="0.0" w:type="dxa"/>
              <w:left w:w="100.0" w:type="dxa"/>
              <w:bottom w:w="0.0" w:type="dxa"/>
              <w:right w:w="100.0" w:type="dxa"/>
            </w:tcMar>
            <w:vAlign w:val="top"/>
          </w:tcPr>
          <w:p w:rsidR="00000000" w:rsidDel="00000000" w:rsidP="00000000" w:rsidRDefault="00000000" w:rsidRPr="00000000" w14:paraId="0000005C">
            <w:pPr>
              <w:spacing w:after="20" w:before="20" w:line="276"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b4bcc6" w:space="0" w:sz="5" w:val="single"/>
              <w:left w:color="000000" w:space="0" w:sz="0" w:val="nil"/>
              <w:bottom w:color="b4bcc6" w:space="0" w:sz="5" w:val="single"/>
              <w:right w:color="b4bcc6" w:space="0" w:sz="5" w:val="single"/>
            </w:tcBorders>
            <w:shd w:fill="1f3a5e" w:val="clear"/>
            <w:tcMar>
              <w:top w:w="0.0" w:type="dxa"/>
              <w:left w:w="100.0" w:type="dxa"/>
              <w:bottom w:w="0.0" w:type="dxa"/>
              <w:right w:w="100.0" w:type="dxa"/>
            </w:tcMar>
            <w:vAlign w:val="top"/>
          </w:tcPr>
          <w:p w:rsidR="00000000" w:rsidDel="00000000" w:rsidP="00000000" w:rsidRDefault="00000000" w:rsidRPr="00000000" w14:paraId="0000005D">
            <w:pPr>
              <w:spacing w:after="20" w:before="2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Japón (entrenamiento)</w:t>
            </w:r>
          </w:p>
        </w:tc>
        <w:tc>
          <w:tcPr>
            <w:tcBorders>
              <w:top w:color="b4bcc6" w:space="0" w:sz="5" w:val="single"/>
              <w:left w:color="000000" w:space="0" w:sz="0" w:val="nil"/>
              <w:bottom w:color="b4bcc6" w:space="0" w:sz="5" w:val="single"/>
              <w:right w:color="b4bcc6" w:space="0" w:sz="5" w:val="single"/>
            </w:tcBorders>
            <w:shd w:fill="1f3a5e" w:val="clear"/>
            <w:tcMar>
              <w:top w:w="0.0" w:type="dxa"/>
              <w:left w:w="100.0" w:type="dxa"/>
              <w:bottom w:w="0.0" w:type="dxa"/>
              <w:right w:w="100.0" w:type="dxa"/>
            </w:tcMar>
            <w:vAlign w:val="top"/>
          </w:tcPr>
          <w:p w:rsidR="00000000" w:rsidDel="00000000" w:rsidP="00000000" w:rsidRDefault="00000000" w:rsidRPr="00000000" w14:paraId="0000005E">
            <w:pPr>
              <w:spacing w:after="20" w:before="2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NFCS 2018 (EE. UU.)</w:t>
            </w:r>
          </w:p>
        </w:tc>
      </w:tr>
      <w:tr>
        <w:trPr>
          <w:cantSplit w:val="0"/>
          <w:trHeight w:val="285" w:hRule="atLeast"/>
          <w:tblHeader w:val="0"/>
        </w:trPr>
        <w:tc>
          <w:tcPr>
            <w:tcBorders>
              <w:top w:color="000000" w:space="0" w:sz="0" w:val="nil"/>
              <w:left w:color="b4bcc6" w:space="0" w:sz="5" w:val="single"/>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5F">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Caída</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60">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Marzo de 2020 (COVID-19)</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61">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Febrero de 2018 (cerca de 10 %)</w:t>
            </w:r>
          </w:p>
        </w:tc>
      </w:tr>
      <w:tr>
        <w:trPr>
          <w:cantSplit w:val="0"/>
          <w:trHeight w:val="285" w:hRule="atLeast"/>
          <w:tblHeader w:val="0"/>
        </w:trPr>
        <w:tc>
          <w:tcPr>
            <w:tcBorders>
              <w:top w:color="000000" w:space="0" w:sz="0" w:val="nil"/>
              <w:left w:color="b4bcc6" w:space="0" w:sz="5" w:val="single"/>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62">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Inversionistas</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63">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54.704</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64">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1.825</w:t>
            </w:r>
          </w:p>
        </w:tc>
      </w:tr>
      <w:tr>
        <w:trPr>
          <w:cantSplit w:val="0"/>
          <w:trHeight w:val="285" w:hRule="atLeast"/>
          <w:tblHeader w:val="0"/>
        </w:trPr>
        <w:tc>
          <w:tcPr>
            <w:tcBorders>
              <w:top w:color="000000" w:space="0" w:sz="0" w:val="nil"/>
              <w:left w:color="b4bcc6" w:space="0" w:sz="5" w:val="single"/>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65">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Vendieron</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66">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19,9 %</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67">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4,6 % (84 personas)</w:t>
            </w:r>
          </w:p>
        </w:tc>
      </w:tr>
      <w:tr>
        <w:trPr>
          <w:cantSplit w:val="0"/>
          <w:trHeight w:val="510" w:hRule="atLeast"/>
          <w:tblHeader w:val="0"/>
        </w:trPr>
        <w:tc>
          <w:tcPr>
            <w:tcBorders>
              <w:top w:color="000000" w:space="0" w:sz="0" w:val="nil"/>
              <w:left w:color="b4bcc6" w:space="0" w:sz="5" w:val="single"/>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68">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Variables</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69">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17</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6A">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15 de 17 (no existen urban ni short_term_view)</w:t>
            </w:r>
          </w:p>
        </w:tc>
      </w:tr>
      <w:tr>
        <w:trPr>
          <w:cantSplit w:val="0"/>
          <w:trHeight w:val="285" w:hRule="atLeast"/>
          <w:tblHeader w:val="0"/>
        </w:trPr>
        <w:tc>
          <w:tcPr>
            <w:tcBorders>
              <w:top w:color="000000" w:space="0" w:sz="0" w:val="nil"/>
              <w:left w:color="b4bcc6" w:space="0" w:sz="5" w:val="single"/>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6B">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Exceso de confianza</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6C">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7,5 %</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6D">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48 %</w:t>
            </w:r>
          </w:p>
        </w:tc>
      </w:tr>
    </w:tbl>
    <w:p w:rsidR="00000000" w:rsidDel="00000000" w:rsidP="00000000" w:rsidRDefault="00000000" w:rsidRPr="00000000" w14:paraId="0000006E">
      <w:pPr>
        <w:spacing w:after="160" w:lineRule="auto"/>
        <w:rPr>
          <w:rFonts w:ascii="Arial" w:cs="Arial" w:eastAsia="Arial" w:hAnsi="Arial"/>
          <w:i w:val="1"/>
          <w:iCs w:val="1"/>
          <w:color w:val="555f6b"/>
          <w:sz w:val="17"/>
          <w:szCs w:val="17"/>
        </w:rPr>
      </w:pPr>
      <w:r w:rsidDel="00000000" w:rsidR="00000000" w:rsidRPr="00000000">
        <w:rPr>
          <w:rFonts w:ascii="Arial" w:cs="Arial" w:eastAsia="Arial" w:hAnsi="Arial"/>
          <w:i w:val="1"/>
          <w:iCs w:val="1"/>
          <w:color w:val="555f6b"/>
          <w:sz w:val="17"/>
          <w:szCs w:val="17"/>
          <w:rtl w:val="0"/>
        </w:rPr>
        <w:t xml:space="preserve">Fuente: elaboración propia.</w:t>
      </w:r>
    </w:p>
    <w:p w:rsidR="00000000" w:rsidDel="00000000" w:rsidP="00000000" w:rsidRDefault="00000000" w:rsidRPr="00000000" w14:paraId="0000006F">
      <w:pPr>
        <w:jc w:val="both"/>
        <w:rPr>
          <w:rFonts w:ascii="Arial" w:cs="Arial" w:eastAsia="Arial" w:hAnsi="Arial"/>
        </w:rPr>
      </w:pPr>
      <w:r w:rsidDel="00000000" w:rsidR="00000000" w:rsidRPr="00000000">
        <w:rPr>
          <w:rFonts w:ascii="Arial" w:cs="Arial" w:eastAsia="Arial" w:hAnsi="Arial"/>
          <w:rtl w:val="0"/>
        </w:rPr>
        <w:t xml:space="preserve">Pusimos cada variable de la NFCS con el mismo nombre y escala que en Japón; por ejemplo, la confianza pasa de una escala de 1 a 7 a una de 1 a 5. 17 pruebas automáticas revisan la conversión. Por las reglas de FINRA, los datos no se comparten: cada integrante descarga su copia.</w:t>
      </w:r>
    </w:p>
    <w:p w:rsidR="00000000" w:rsidDel="00000000" w:rsidP="00000000" w:rsidRDefault="00000000" w:rsidRPr="00000000" w14:paraId="00000070">
      <w:pPr>
        <w:pStyle w:val="Heading2"/>
        <w:keepNext w:val="0"/>
        <w:keepLines w:val="0"/>
        <w:spacing w:after="80" w:before="360" w:lineRule="auto"/>
        <w:rPr>
          <w:rFonts w:ascii="Arial" w:cs="Arial" w:eastAsia="Arial" w:hAnsi="Arial"/>
          <w:color w:val="1b1b1b"/>
          <w:sz w:val="34"/>
          <w:szCs w:val="34"/>
        </w:rPr>
      </w:pPr>
      <w:bookmarkStart w:colFirst="0" w:colLast="0" w:name="_1dfmjhfs2ktu" w:id="6"/>
      <w:bookmarkEnd w:id="6"/>
      <w:r w:rsidDel="00000000" w:rsidR="00000000" w:rsidRPr="00000000">
        <w:rPr>
          <w:rFonts w:ascii="Arial" w:cs="Arial" w:eastAsia="Arial" w:hAnsi="Arial"/>
          <w:rtl w:val="0"/>
        </w:rPr>
        <w:t xml:space="preserve">2.5 Límite temporal de los datos de Japón</w:t>
      </w:r>
      <w:r w:rsidDel="00000000" w:rsidR="00000000" w:rsidRPr="00000000">
        <w:rPr>
          <w:rtl w:val="0"/>
        </w:rPr>
      </w:r>
    </w:p>
    <w:p w:rsidR="00000000" w:rsidDel="00000000" w:rsidP="00000000" w:rsidRDefault="00000000" w:rsidRPr="00000000" w14:paraId="00000071">
      <w:pPr>
        <w:jc w:val="both"/>
        <w:rPr>
          <w:rFonts w:ascii="Arial" w:cs="Arial" w:eastAsia="Arial" w:hAnsi="Arial"/>
          <w:color w:val="1b1b1b"/>
          <w:sz w:val="46"/>
          <w:szCs w:val="46"/>
        </w:rPr>
      </w:pPr>
      <w:r w:rsidDel="00000000" w:rsidR="00000000" w:rsidRPr="00000000">
        <w:rPr>
          <w:rFonts w:ascii="Arial" w:cs="Arial" w:eastAsia="Arial" w:hAnsi="Arial"/>
          <w:rtl w:val="0"/>
        </w:rPr>
        <w:t xml:space="preserve">La encuesta japonesa se hizo a finales de 2023 y preguntó qué hicieron las personas en marzo de 2020 (Bawalle et al., 2025). O sea, el conocimiento, la confianza y la aversión al riesgo se midieron después de la venta, y la experiencia pudo cambiar esas respuestas. No se puede corregir con los datos, así que lo declaramos como límite.</w:t>
      </w:r>
      <w:r w:rsidDel="00000000" w:rsidR="00000000" w:rsidRPr="00000000">
        <w:rPr>
          <w:rtl w:val="0"/>
        </w:rPr>
      </w:r>
    </w:p>
    <w:p w:rsidR="00000000" w:rsidDel="00000000" w:rsidP="00000000" w:rsidRDefault="00000000" w:rsidRPr="00000000" w14:paraId="00000072">
      <w:pPr>
        <w:pStyle w:val="Heading2"/>
        <w:keepNext w:val="0"/>
        <w:keepLines w:val="0"/>
        <w:spacing w:after="80" w:before="360" w:lineRule="auto"/>
        <w:rPr>
          <w:rFonts w:ascii="Arial" w:cs="Arial" w:eastAsia="Arial" w:hAnsi="Arial"/>
          <w:color w:val="1b1b1b"/>
          <w:sz w:val="34"/>
          <w:szCs w:val="34"/>
        </w:rPr>
      </w:pPr>
      <w:bookmarkStart w:colFirst="0" w:colLast="0" w:name="_la7udvofq1c3" w:id="7"/>
      <w:bookmarkEnd w:id="7"/>
      <w:r w:rsidDel="00000000" w:rsidR="00000000" w:rsidRPr="00000000">
        <w:rPr>
          <w:rFonts w:ascii="Arial" w:cs="Arial" w:eastAsia="Arial" w:hAnsi="Arial"/>
          <w:rtl w:val="0"/>
        </w:rPr>
        <w:t xml:space="preserve">3.1 tres modelos, de más simple a más complejo</w:t>
      </w:r>
      <w:r w:rsidDel="00000000" w:rsidR="00000000" w:rsidRPr="00000000">
        <w:rPr>
          <w:rtl w:val="0"/>
        </w:rPr>
      </w:r>
    </w:p>
    <w:p w:rsidR="00000000" w:rsidDel="00000000" w:rsidP="00000000" w:rsidRDefault="00000000" w:rsidRPr="00000000" w14:paraId="00000073">
      <w:pPr>
        <w:jc w:val="both"/>
        <w:rPr>
          <w:rFonts w:ascii="Arial" w:cs="Arial" w:eastAsia="Arial" w:hAnsi="Arial"/>
        </w:rPr>
      </w:pPr>
      <w:r w:rsidDel="00000000" w:rsidR="00000000" w:rsidRPr="00000000">
        <w:rPr>
          <w:rFonts w:ascii="Arial" w:cs="Arial" w:eastAsia="Arial" w:hAnsi="Arial"/>
          <w:rtl w:val="0"/>
        </w:rPr>
        <w:t xml:space="preserve">Cada modelo se escogió de acuerdo a los resultados arrojados por el estado del arte y la rejilla de hiperparametros se adecuo de acuerdo cada experimento :</w:t>
      </w:r>
    </w:p>
    <w:p w:rsidR="00000000" w:rsidDel="00000000" w:rsidP="00000000" w:rsidRDefault="00000000" w:rsidRPr="00000000" w14:paraId="00000074">
      <w:pPr>
        <w:jc w:val="both"/>
        <w:rPr>
          <w:rFonts w:ascii="Arial" w:cs="Arial" w:eastAsia="Arial" w:hAnsi="Arial"/>
        </w:rPr>
      </w:pPr>
      <w:r w:rsidDel="00000000" w:rsidR="00000000" w:rsidRPr="00000000">
        <w:rPr>
          <w:rtl w:val="0"/>
        </w:rPr>
      </w:r>
    </w:p>
    <w:p w:rsidR="00000000" w:rsidDel="00000000" w:rsidP="00000000" w:rsidRDefault="00000000" w:rsidRPr="00000000" w14:paraId="00000075">
      <w:pPr>
        <w:spacing w:after="60" w:before="120" w:lineRule="auto"/>
        <w:rPr>
          <w:rFonts w:ascii="Arial" w:cs="Arial" w:eastAsia="Arial" w:hAnsi="Arial"/>
          <w:color w:val="1f3a5e"/>
          <w:sz w:val="19"/>
          <w:szCs w:val="19"/>
        </w:rPr>
      </w:pPr>
      <w:r w:rsidDel="00000000" w:rsidR="00000000" w:rsidRPr="00000000">
        <w:rPr>
          <w:rFonts w:ascii="Arial" w:cs="Arial" w:eastAsia="Arial" w:hAnsi="Arial"/>
          <w:b w:val="1"/>
          <w:bCs w:val="1"/>
          <w:color w:val="1f3a5e"/>
          <w:sz w:val="19"/>
          <w:szCs w:val="19"/>
          <w:rtl w:val="0"/>
        </w:rPr>
        <w:t xml:space="preserve">Tabla 7. </w:t>
      </w:r>
      <w:r w:rsidDel="00000000" w:rsidR="00000000" w:rsidRPr="00000000">
        <w:rPr>
          <w:rFonts w:ascii="Arial" w:cs="Arial" w:eastAsia="Arial" w:hAnsi="Arial"/>
          <w:color w:val="1f3a5e"/>
          <w:sz w:val="19"/>
          <w:szCs w:val="19"/>
          <w:rtl w:val="0"/>
        </w:rPr>
        <w:t xml:space="preserve">Modelos seleccionados.</w:t>
      </w:r>
    </w:p>
    <w:tbl>
      <w:tblPr>
        <w:tblStyle w:val="Table4"/>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55"/>
        <w:gridCol w:w="3240"/>
        <w:tblGridChange w:id="0">
          <w:tblGrid>
            <w:gridCol w:w="3240"/>
            <w:gridCol w:w="3255"/>
            <w:gridCol w:w="3240"/>
          </w:tblGrid>
        </w:tblGridChange>
      </w:tblGrid>
      <w:tr>
        <w:trPr>
          <w:cantSplit w:val="0"/>
          <w:trHeight w:val="285" w:hRule="atLeast"/>
          <w:tblHeader w:val="0"/>
        </w:trPr>
        <w:tc>
          <w:tcPr>
            <w:tcBorders>
              <w:top w:color="b4bcc6" w:space="0" w:sz="5" w:val="single"/>
              <w:left w:color="b4bcc6" w:space="0" w:sz="5" w:val="single"/>
              <w:bottom w:color="b4bcc6" w:space="0" w:sz="5" w:val="single"/>
              <w:right w:color="b4bcc6" w:space="0" w:sz="5" w:val="single"/>
            </w:tcBorders>
            <w:shd w:fill="1f3a5e" w:val="clear"/>
            <w:tcMar>
              <w:top w:w="0.0" w:type="dxa"/>
              <w:left w:w="100.0" w:type="dxa"/>
              <w:bottom w:w="0.0" w:type="dxa"/>
              <w:right w:w="100.0" w:type="dxa"/>
            </w:tcMar>
            <w:vAlign w:val="top"/>
          </w:tcPr>
          <w:p w:rsidR="00000000" w:rsidDel="00000000" w:rsidP="00000000" w:rsidRDefault="00000000" w:rsidRPr="00000000" w14:paraId="00000076">
            <w:pPr>
              <w:spacing w:after="20" w:before="2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Modelo</w:t>
            </w:r>
          </w:p>
        </w:tc>
        <w:tc>
          <w:tcPr>
            <w:tcBorders>
              <w:top w:color="b4bcc6" w:space="0" w:sz="5" w:val="single"/>
              <w:left w:color="000000" w:space="0" w:sz="0" w:val="nil"/>
              <w:bottom w:color="b4bcc6" w:space="0" w:sz="5" w:val="single"/>
              <w:right w:color="b4bcc6" w:space="0" w:sz="5" w:val="single"/>
            </w:tcBorders>
            <w:shd w:fill="1f3a5e" w:val="clear"/>
            <w:tcMar>
              <w:top w:w="0.0" w:type="dxa"/>
              <w:left w:w="100.0" w:type="dxa"/>
              <w:bottom w:w="0.0" w:type="dxa"/>
              <w:right w:w="100.0" w:type="dxa"/>
            </w:tcMar>
            <w:vAlign w:val="top"/>
          </w:tcPr>
          <w:p w:rsidR="00000000" w:rsidDel="00000000" w:rsidP="00000000" w:rsidRDefault="00000000" w:rsidRPr="00000000" w14:paraId="00000077">
            <w:pPr>
              <w:spacing w:after="20" w:before="2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Responsable</w:t>
            </w:r>
          </w:p>
        </w:tc>
        <w:tc>
          <w:tcPr>
            <w:tcBorders>
              <w:top w:color="b4bcc6" w:space="0" w:sz="5" w:val="single"/>
              <w:left w:color="000000" w:space="0" w:sz="0" w:val="nil"/>
              <w:bottom w:color="b4bcc6" w:space="0" w:sz="5" w:val="single"/>
              <w:right w:color="b4bcc6" w:space="0" w:sz="5" w:val="single"/>
            </w:tcBorders>
            <w:shd w:fill="1f3a5e" w:val="clear"/>
            <w:tcMar>
              <w:top w:w="0.0" w:type="dxa"/>
              <w:left w:w="100.0" w:type="dxa"/>
              <w:bottom w:w="0.0" w:type="dxa"/>
              <w:right w:w="100.0" w:type="dxa"/>
            </w:tcMar>
            <w:vAlign w:val="top"/>
          </w:tcPr>
          <w:p w:rsidR="00000000" w:rsidDel="00000000" w:rsidP="00000000" w:rsidRDefault="00000000" w:rsidRPr="00000000" w14:paraId="00000078">
            <w:pPr>
              <w:spacing w:after="20" w:before="2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Por qué entra</w:t>
            </w:r>
          </w:p>
        </w:tc>
      </w:tr>
      <w:tr>
        <w:trPr>
          <w:cantSplit w:val="0"/>
          <w:trHeight w:val="7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0" w:before="2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Modelo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0" w:before="2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Rangos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0" w:before="2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Combinaciones</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0" w:before="2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XGBoost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0" w:before="20" w:line="276" w:lineRule="auto"/>
              <w:rPr>
                <w:rFonts w:ascii="Arial" w:cs="Arial" w:eastAsia="Arial" w:hAnsi="Arial"/>
                <w:sz w:val="18"/>
                <w:szCs w:val="18"/>
              </w:rPr>
            </w:pPr>
            <w:r w:rsidDel="00000000" w:rsidR="00000000" w:rsidRPr="00000000">
              <w:rPr>
                <w:rFonts w:ascii="Roboto Mono" w:cs="Roboto Mono" w:eastAsia="Roboto Mono" w:hAnsi="Roboto Mono"/>
                <w:color w:val="188038"/>
                <w:sz w:val="18"/>
                <w:szCs w:val="18"/>
                <w:rtl w:val="0"/>
              </w:rPr>
              <w:t xml:space="preserve">learning_rate</w:t>
            </w:r>
            <w:r w:rsidDel="00000000" w:rsidR="00000000" w:rsidRPr="00000000">
              <w:rPr>
                <w:rFonts w:ascii="Arial" w:cs="Arial" w:eastAsia="Arial" w:hAnsi="Arial"/>
                <w:sz w:val="18"/>
                <w:szCs w:val="18"/>
                <w:rtl w:val="0"/>
              </w:rPr>
              <w:t xml:space="preserve"> 0,01; 0,03 o 0,1; </w:t>
            </w:r>
            <w:r w:rsidDel="00000000" w:rsidR="00000000" w:rsidRPr="00000000">
              <w:rPr>
                <w:rFonts w:ascii="Roboto Mono" w:cs="Roboto Mono" w:eastAsia="Roboto Mono" w:hAnsi="Roboto Mono"/>
                <w:color w:val="188038"/>
                <w:sz w:val="18"/>
                <w:szCs w:val="18"/>
                <w:rtl w:val="0"/>
              </w:rPr>
              <w:t xml:space="preserve">max_depth</w:t>
            </w:r>
            <w:r w:rsidDel="00000000" w:rsidR="00000000" w:rsidRPr="00000000">
              <w:rPr>
                <w:rFonts w:ascii="Arial" w:cs="Arial" w:eastAsia="Arial" w:hAnsi="Arial"/>
                <w:sz w:val="18"/>
                <w:szCs w:val="18"/>
                <w:rtl w:val="0"/>
              </w:rPr>
              <w:t xml:space="preserve"> 3, 5 o 7; </w:t>
            </w:r>
            <w:r w:rsidDel="00000000" w:rsidR="00000000" w:rsidRPr="00000000">
              <w:rPr>
                <w:rFonts w:ascii="Roboto Mono" w:cs="Roboto Mono" w:eastAsia="Roboto Mono" w:hAnsi="Roboto Mono"/>
                <w:color w:val="188038"/>
                <w:sz w:val="18"/>
                <w:szCs w:val="18"/>
                <w:rtl w:val="0"/>
              </w:rPr>
              <w:t xml:space="preserve">subsample</w:t>
            </w:r>
            <w:r w:rsidDel="00000000" w:rsidR="00000000" w:rsidRPr="00000000">
              <w:rPr>
                <w:rFonts w:ascii="Arial" w:cs="Arial" w:eastAsia="Arial" w:hAnsi="Arial"/>
                <w:sz w:val="18"/>
                <w:szCs w:val="18"/>
                <w:rtl w:val="0"/>
              </w:rPr>
              <w:t xml:space="preserve"> 0,8 o 1,0; </w:t>
            </w:r>
            <w:r w:rsidDel="00000000" w:rsidR="00000000" w:rsidRPr="00000000">
              <w:rPr>
                <w:rFonts w:ascii="Roboto Mono" w:cs="Roboto Mono" w:eastAsia="Roboto Mono" w:hAnsi="Roboto Mono"/>
                <w:color w:val="188038"/>
                <w:sz w:val="18"/>
                <w:szCs w:val="18"/>
                <w:rtl w:val="0"/>
              </w:rPr>
              <w:t xml:space="preserve">min_child_weight</w:t>
            </w:r>
            <w:r w:rsidDel="00000000" w:rsidR="00000000" w:rsidRPr="00000000">
              <w:rPr>
                <w:rFonts w:ascii="Arial" w:cs="Arial" w:eastAsia="Arial" w:hAnsi="Arial"/>
                <w:sz w:val="18"/>
                <w:szCs w:val="18"/>
                <w:rtl w:val="0"/>
              </w:rPr>
              <w:t xml:space="preserve"> 1 o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0" w:before="2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36</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0" w:before="2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LightGBM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0" w:before="20" w:line="276" w:lineRule="auto"/>
              <w:rPr>
                <w:rFonts w:ascii="Arial" w:cs="Arial" w:eastAsia="Arial" w:hAnsi="Arial"/>
                <w:sz w:val="18"/>
                <w:szCs w:val="18"/>
              </w:rPr>
            </w:pPr>
            <w:r w:rsidDel="00000000" w:rsidR="00000000" w:rsidRPr="00000000">
              <w:rPr>
                <w:rFonts w:ascii="Roboto Mono" w:cs="Roboto Mono" w:eastAsia="Roboto Mono" w:hAnsi="Roboto Mono"/>
                <w:color w:val="188038"/>
                <w:sz w:val="18"/>
                <w:szCs w:val="18"/>
                <w:rtl w:val="0"/>
              </w:rPr>
              <w:t xml:space="preserve">learning_rate</w:t>
            </w:r>
            <w:r w:rsidDel="00000000" w:rsidR="00000000" w:rsidRPr="00000000">
              <w:rPr>
                <w:rFonts w:ascii="Arial" w:cs="Arial" w:eastAsia="Arial" w:hAnsi="Arial"/>
                <w:sz w:val="18"/>
                <w:szCs w:val="18"/>
                <w:rtl w:val="0"/>
              </w:rPr>
              <w:t xml:space="preserve"> 0,01; 0,03 o 0,1; </w:t>
            </w:r>
            <w:r w:rsidDel="00000000" w:rsidR="00000000" w:rsidRPr="00000000">
              <w:rPr>
                <w:rFonts w:ascii="Roboto Mono" w:cs="Roboto Mono" w:eastAsia="Roboto Mono" w:hAnsi="Roboto Mono"/>
                <w:color w:val="188038"/>
                <w:sz w:val="18"/>
                <w:szCs w:val="18"/>
                <w:rtl w:val="0"/>
              </w:rPr>
              <w:t xml:space="preserve">max_depth</w:t>
            </w:r>
            <w:r w:rsidDel="00000000" w:rsidR="00000000" w:rsidRPr="00000000">
              <w:rPr>
                <w:rFonts w:ascii="Arial" w:cs="Arial" w:eastAsia="Arial" w:hAnsi="Arial"/>
                <w:sz w:val="18"/>
                <w:szCs w:val="18"/>
                <w:rtl w:val="0"/>
              </w:rPr>
              <w:t xml:space="preserve"> 3, 5 o 7; </w:t>
            </w:r>
            <w:r w:rsidDel="00000000" w:rsidR="00000000" w:rsidRPr="00000000">
              <w:rPr>
                <w:rFonts w:ascii="Roboto Mono" w:cs="Roboto Mono" w:eastAsia="Roboto Mono" w:hAnsi="Roboto Mono"/>
                <w:color w:val="188038"/>
                <w:sz w:val="18"/>
                <w:szCs w:val="18"/>
                <w:rtl w:val="0"/>
              </w:rPr>
              <w:t xml:space="preserve">num_leaves</w:t>
            </w:r>
            <w:r w:rsidDel="00000000" w:rsidR="00000000" w:rsidRPr="00000000">
              <w:rPr>
                <w:rFonts w:ascii="Arial" w:cs="Arial" w:eastAsia="Arial" w:hAnsi="Arial"/>
                <w:sz w:val="18"/>
                <w:szCs w:val="18"/>
                <w:rtl w:val="0"/>
              </w:rPr>
              <w:t xml:space="preserve"> 15 o 31; </w:t>
            </w:r>
            <w:r w:rsidDel="00000000" w:rsidR="00000000" w:rsidRPr="00000000">
              <w:rPr>
                <w:rFonts w:ascii="Roboto Mono" w:cs="Roboto Mono" w:eastAsia="Roboto Mono" w:hAnsi="Roboto Mono"/>
                <w:color w:val="188038"/>
                <w:sz w:val="18"/>
                <w:szCs w:val="18"/>
                <w:rtl w:val="0"/>
              </w:rPr>
              <w:t xml:space="preserve">min_child_samples</w:t>
            </w:r>
            <w:r w:rsidDel="00000000" w:rsidR="00000000" w:rsidRPr="00000000">
              <w:rPr>
                <w:rFonts w:ascii="Arial" w:cs="Arial" w:eastAsia="Arial" w:hAnsi="Arial"/>
                <w:sz w:val="18"/>
                <w:szCs w:val="18"/>
                <w:rtl w:val="0"/>
              </w:rPr>
              <w:t xml:space="preserve"> 20 o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0" w:before="2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36</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0" w:before="2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CatBoost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0" w:before="20" w:line="276" w:lineRule="auto"/>
              <w:rPr>
                <w:rFonts w:ascii="Arial" w:cs="Arial" w:eastAsia="Arial" w:hAnsi="Arial"/>
                <w:sz w:val="18"/>
                <w:szCs w:val="18"/>
              </w:rPr>
            </w:pPr>
            <w:r w:rsidDel="00000000" w:rsidR="00000000" w:rsidRPr="00000000">
              <w:rPr>
                <w:rFonts w:ascii="Roboto Mono" w:cs="Roboto Mono" w:eastAsia="Roboto Mono" w:hAnsi="Roboto Mono"/>
                <w:color w:val="188038"/>
                <w:sz w:val="18"/>
                <w:szCs w:val="18"/>
                <w:rtl w:val="0"/>
              </w:rPr>
              <w:t xml:space="preserve">learning_rate</w:t>
            </w:r>
            <w:r w:rsidDel="00000000" w:rsidR="00000000" w:rsidRPr="00000000">
              <w:rPr>
                <w:rFonts w:ascii="Arial" w:cs="Arial" w:eastAsia="Arial" w:hAnsi="Arial"/>
                <w:sz w:val="18"/>
                <w:szCs w:val="18"/>
                <w:rtl w:val="0"/>
              </w:rPr>
              <w:t xml:space="preserve"> 0,01; 0,03 o 0,1; </w:t>
            </w:r>
            <w:r w:rsidDel="00000000" w:rsidR="00000000" w:rsidRPr="00000000">
              <w:rPr>
                <w:rFonts w:ascii="Roboto Mono" w:cs="Roboto Mono" w:eastAsia="Roboto Mono" w:hAnsi="Roboto Mono"/>
                <w:color w:val="188038"/>
                <w:sz w:val="18"/>
                <w:szCs w:val="18"/>
                <w:rtl w:val="0"/>
              </w:rPr>
              <w:t xml:space="preserve">depth</w:t>
            </w:r>
            <w:r w:rsidDel="00000000" w:rsidR="00000000" w:rsidRPr="00000000">
              <w:rPr>
                <w:rFonts w:ascii="Arial" w:cs="Arial" w:eastAsia="Arial" w:hAnsi="Arial"/>
                <w:sz w:val="18"/>
                <w:szCs w:val="18"/>
                <w:rtl w:val="0"/>
              </w:rPr>
              <w:t xml:space="preserve"> 4, 6 u 8; </w:t>
            </w:r>
            <w:r w:rsidDel="00000000" w:rsidR="00000000" w:rsidRPr="00000000">
              <w:rPr>
                <w:rFonts w:ascii="Roboto Mono" w:cs="Roboto Mono" w:eastAsia="Roboto Mono" w:hAnsi="Roboto Mono"/>
                <w:color w:val="188038"/>
                <w:sz w:val="18"/>
                <w:szCs w:val="18"/>
                <w:rtl w:val="0"/>
              </w:rPr>
              <w:t xml:space="preserve">l2_leaf_reg</w:t>
            </w:r>
            <w:r w:rsidDel="00000000" w:rsidR="00000000" w:rsidRPr="00000000">
              <w:rPr>
                <w:rFonts w:ascii="Arial" w:cs="Arial" w:eastAsia="Arial" w:hAnsi="Arial"/>
                <w:sz w:val="18"/>
                <w:szCs w:val="18"/>
                <w:rtl w:val="0"/>
              </w:rPr>
              <w:t xml:space="preserve"> 1, 3 o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0" w:before="2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0" w:before="20" w:line="276" w:lineRule="auto"/>
              <w:jc w:val="center"/>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0" w:before="20" w:line="276" w:lineRule="auto"/>
              <w:jc w:val="left"/>
              <w:rPr>
                <w:rFonts w:ascii="Arial" w:cs="Arial" w:eastAsia="Arial" w:hAnsi="Arial"/>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0" w:before="20" w:line="276" w:lineRule="auto"/>
              <w:jc w:val="cente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88">
      <w:pPr>
        <w:spacing w:after="240" w:before="240" w:lineRule="auto"/>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XGBoost.</w:t>
      </w:r>
      <w:r w:rsidDel="00000000" w:rsidR="00000000" w:rsidRPr="00000000">
        <w:rPr>
          <w:rFonts w:ascii="Arial" w:cs="Arial" w:eastAsia="Arial" w:hAnsi="Arial"/>
          <w:color w:val="000000"/>
          <w:sz w:val="20"/>
          <w:szCs w:val="20"/>
          <w:rtl w:val="0"/>
        </w:rPr>
        <w:t xml:space="preserve"> CatBoost tuvo el AUROC más alto (0,661), pero XGBoost y LightGBM quedaron a menos de una desviación estándar. Con la regla del protocolo, entre modelos empatados gana el que aparece primero en el orden de la Tabla 7. Ese orden pone a XGBoost antes que a LightGBM y CatBoost.</w:t>
      </w:r>
    </w:p>
    <w:p w:rsidR="00000000" w:rsidDel="00000000" w:rsidP="00000000" w:rsidRDefault="00000000" w:rsidRPr="00000000" w14:paraId="00000089">
      <w:pPr>
        <w:spacing w:after="240" w:before="240" w:lineRule="auto"/>
        <w:jc w:val="both"/>
        <w:rPr>
          <w:rFonts w:ascii="Arial" w:cs="Arial" w:eastAsia="Arial" w:hAnsi="Arial"/>
          <w:color w:val="555f6b"/>
          <w:sz w:val="17"/>
          <w:szCs w:val="17"/>
        </w:rPr>
      </w:pPr>
      <w:r w:rsidDel="00000000" w:rsidR="00000000" w:rsidRPr="00000000">
        <w:rPr>
          <w:rFonts w:ascii="Arial" w:cs="Arial" w:eastAsia="Arial" w:hAnsi="Arial"/>
          <w:color w:val="000000"/>
          <w:sz w:val="20"/>
          <w:szCs w:val="20"/>
          <w:rtl w:val="0"/>
        </w:rPr>
        <w:t xml:space="preserve">Todos los modelos superan al trivial, pero por poco: el mejor AUROC queda unos 0,16 por encima del azar. Este valor está lejos del umbral de alarma de 0,82, así que no hay indicios de fuga</w:t>
      </w:r>
      <w:r w:rsidDel="00000000" w:rsidR="00000000" w:rsidRPr="00000000">
        <w:rPr>
          <w:rFonts w:ascii="Arial" w:cs="Arial" w:eastAsia="Arial" w:hAnsi="Arial"/>
          <w:color w:val="555f6b"/>
          <w:sz w:val="17"/>
          <w:szCs w:val="17"/>
          <w:rtl w:val="0"/>
        </w:rPr>
        <w:t xml:space="preserve">.</w:t>
      </w:r>
    </w:p>
    <w:p w:rsidR="00000000" w:rsidDel="00000000" w:rsidP="00000000" w:rsidRDefault="00000000" w:rsidRPr="00000000" w14:paraId="0000008A">
      <w:pPr>
        <w:spacing w:after="160" w:lineRule="auto"/>
        <w:rPr>
          <w:rFonts w:ascii="Arial" w:cs="Arial" w:eastAsia="Arial" w:hAnsi="Arial"/>
          <w:i w:val="1"/>
          <w:iCs w:val="1"/>
          <w:color w:val="555f6b"/>
          <w:sz w:val="17"/>
          <w:szCs w:val="17"/>
        </w:rPr>
      </w:pPr>
      <w:r w:rsidDel="00000000" w:rsidR="00000000" w:rsidRPr="00000000">
        <w:rPr>
          <w:rtl w:val="0"/>
        </w:rPr>
      </w:r>
    </w:p>
    <w:p w:rsidR="00000000" w:rsidDel="00000000" w:rsidP="00000000" w:rsidRDefault="00000000" w:rsidRPr="00000000" w14:paraId="0000008B">
      <w:pPr>
        <w:spacing w:after="60" w:before="120" w:lineRule="auto"/>
        <w:rPr>
          <w:rFonts w:ascii="Arial" w:cs="Arial" w:eastAsia="Arial" w:hAnsi="Arial"/>
          <w:color w:val="1f3a5e"/>
          <w:sz w:val="19"/>
          <w:szCs w:val="19"/>
        </w:rPr>
      </w:pPr>
      <w:r w:rsidDel="00000000" w:rsidR="00000000" w:rsidRPr="00000000">
        <w:rPr>
          <w:rFonts w:ascii="Arial" w:cs="Arial" w:eastAsia="Arial" w:hAnsi="Arial"/>
          <w:b w:val="1"/>
          <w:bCs w:val="1"/>
          <w:color w:val="1f3a5e"/>
          <w:sz w:val="19"/>
          <w:szCs w:val="19"/>
          <w:rtl w:val="0"/>
        </w:rPr>
        <w:t xml:space="preserve">Tabla 8. </w:t>
      </w:r>
      <w:r w:rsidDel="00000000" w:rsidR="00000000" w:rsidRPr="00000000">
        <w:rPr>
          <w:rFonts w:ascii="Arial" w:cs="Arial" w:eastAsia="Arial" w:hAnsi="Arial"/>
          <w:color w:val="1f3a5e"/>
          <w:sz w:val="19"/>
          <w:szCs w:val="19"/>
          <w:rtl w:val="0"/>
        </w:rPr>
        <w:t xml:space="preserve">Rangos de variables y cambios (feature engineering).</w:t>
      </w:r>
    </w:p>
    <w:tbl>
      <w:tblPr>
        <w:tblStyle w:val="Table5"/>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45"/>
        <w:gridCol w:w="4890"/>
        <w:tblGridChange w:id="0">
          <w:tblGrid>
            <w:gridCol w:w="4845"/>
            <w:gridCol w:w="4890"/>
          </w:tblGrid>
        </w:tblGridChange>
      </w:tblGrid>
      <w:tr>
        <w:trPr>
          <w:cantSplit w:val="0"/>
          <w:trHeight w:val="285" w:hRule="atLeast"/>
          <w:tblHeader w:val="0"/>
        </w:trPr>
        <w:tc>
          <w:tcPr>
            <w:tcBorders>
              <w:top w:color="b4bcc6" w:space="0" w:sz="5" w:val="single"/>
              <w:left w:color="b4bcc6" w:space="0" w:sz="5" w:val="single"/>
              <w:bottom w:color="b4bcc6" w:space="0" w:sz="5" w:val="single"/>
              <w:right w:color="b4bcc6" w:space="0" w:sz="5" w:val="single"/>
            </w:tcBorders>
            <w:shd w:fill="1f3a5e" w:val="clear"/>
            <w:tcMar>
              <w:top w:w="0.0" w:type="dxa"/>
              <w:left w:w="100.0" w:type="dxa"/>
              <w:bottom w:w="0.0" w:type="dxa"/>
              <w:right w:w="100.0" w:type="dxa"/>
            </w:tcMar>
            <w:vAlign w:val="top"/>
          </w:tcPr>
          <w:p w:rsidR="00000000" w:rsidDel="00000000" w:rsidP="00000000" w:rsidRDefault="00000000" w:rsidRPr="00000000" w14:paraId="0000008C">
            <w:pPr>
              <w:spacing w:after="20" w:before="2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Versión</w:t>
            </w:r>
          </w:p>
        </w:tc>
        <w:tc>
          <w:tcPr>
            <w:tcBorders>
              <w:top w:color="b4bcc6" w:space="0" w:sz="5" w:val="single"/>
              <w:left w:color="000000" w:space="0" w:sz="0" w:val="nil"/>
              <w:bottom w:color="b4bcc6" w:space="0" w:sz="5" w:val="single"/>
              <w:right w:color="b4bcc6" w:space="0" w:sz="5" w:val="single"/>
            </w:tcBorders>
            <w:shd w:fill="1f3a5e" w:val="clear"/>
            <w:tcMar>
              <w:top w:w="0.0" w:type="dxa"/>
              <w:left w:w="100.0" w:type="dxa"/>
              <w:bottom w:w="0.0" w:type="dxa"/>
              <w:right w:w="100.0" w:type="dxa"/>
            </w:tcMar>
            <w:vAlign w:val="top"/>
          </w:tcPr>
          <w:p w:rsidR="00000000" w:rsidDel="00000000" w:rsidP="00000000" w:rsidRDefault="00000000" w:rsidRPr="00000000" w14:paraId="0000008D">
            <w:pPr>
              <w:spacing w:after="20" w:before="2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Cambios</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Sin cambios</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Sin edad al cuadrado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 quita </w:t>
            </w:r>
            <w:r w:rsidDel="00000000" w:rsidR="00000000" w:rsidRPr="00000000">
              <w:rPr>
                <w:rFonts w:ascii="Roboto Mono" w:cs="Roboto Mono" w:eastAsia="Roboto Mono" w:hAnsi="Roboto Mono"/>
                <w:color w:val="188038"/>
                <w:sz w:val="18"/>
                <w:szCs w:val="18"/>
                <w:rtl w:val="0"/>
              </w:rPr>
              <w:t xml:space="preserve">age_squared</w:t>
            </w: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Logaritmo del ingreso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 aplica logaritmo a </w:t>
            </w:r>
            <w:r w:rsidDel="00000000" w:rsidR="00000000" w:rsidRPr="00000000">
              <w:rPr>
                <w:rFonts w:ascii="Roboto Mono" w:cs="Roboto Mono" w:eastAsia="Roboto Mono" w:hAnsi="Roboto Mono"/>
                <w:color w:val="188038"/>
                <w:sz w:val="18"/>
                <w:szCs w:val="18"/>
                <w:rtl w:val="0"/>
              </w:rPr>
              <w:t xml:space="preserve">income_bracket</w:t>
            </w: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Edad por ingreso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 agrega la interacción </w:t>
            </w:r>
            <w:r w:rsidDel="00000000" w:rsidR="00000000" w:rsidRPr="00000000">
              <w:rPr>
                <w:rFonts w:ascii="Roboto Mono" w:cs="Roboto Mono" w:eastAsia="Roboto Mono" w:hAnsi="Roboto Mono"/>
                <w:color w:val="188038"/>
                <w:sz w:val="18"/>
                <w:szCs w:val="18"/>
                <w:rtl w:val="0"/>
              </w:rPr>
              <w:t xml:space="preserve">age</w:t>
            </w:r>
            <w:r w:rsidDel="00000000" w:rsidR="00000000" w:rsidRPr="00000000">
              <w:rPr>
                <w:rFonts w:ascii="Arial" w:cs="Arial" w:eastAsia="Arial" w:hAnsi="Arial"/>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income_bracket</w:t>
            </w:r>
            <w:r w:rsidDel="00000000" w:rsidR="00000000" w:rsidRPr="00000000">
              <w:rPr>
                <w:rtl w:val="0"/>
              </w:rPr>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Sin cambios</w:t>
            </w:r>
          </w:p>
        </w:tc>
      </w:tr>
    </w:tbl>
    <w:p w:rsidR="00000000" w:rsidDel="00000000" w:rsidP="00000000" w:rsidRDefault="00000000" w:rsidRPr="00000000" w14:paraId="00000098">
      <w:pPr>
        <w:spacing w:after="160" w:lineRule="auto"/>
        <w:rPr>
          <w:rFonts w:ascii="Arial" w:cs="Arial" w:eastAsia="Arial" w:hAnsi="Arial"/>
          <w:i w:val="1"/>
          <w:iCs w:val="1"/>
          <w:color w:val="555f6b"/>
          <w:sz w:val="17"/>
          <w:szCs w:val="17"/>
        </w:rPr>
      </w:pPr>
      <w:r w:rsidDel="00000000" w:rsidR="00000000" w:rsidRPr="00000000">
        <w:rPr>
          <w:rFonts w:ascii="Arial" w:cs="Arial" w:eastAsia="Arial" w:hAnsi="Arial"/>
          <w:i w:val="1"/>
          <w:iCs w:val="1"/>
          <w:color w:val="555f6b"/>
          <w:sz w:val="17"/>
          <w:szCs w:val="17"/>
          <w:rtl w:val="0"/>
        </w:rPr>
        <w:t xml:space="preserve">Fuente: elaboración propia.</w:t>
      </w:r>
    </w:p>
    <w:p w:rsidR="00000000" w:rsidDel="00000000" w:rsidP="00000000" w:rsidRDefault="00000000" w:rsidRPr="00000000" w14:paraId="00000099">
      <w:pPr>
        <w:pStyle w:val="Heading2"/>
        <w:keepNext w:val="0"/>
        <w:keepLines w:val="0"/>
        <w:spacing w:after="80" w:before="360" w:lineRule="auto"/>
        <w:rPr>
          <w:rFonts w:ascii="Arial" w:cs="Arial" w:eastAsia="Arial" w:hAnsi="Arial"/>
          <w:color w:val="1b1b1b"/>
          <w:sz w:val="34"/>
          <w:szCs w:val="34"/>
        </w:rPr>
      </w:pPr>
      <w:bookmarkStart w:colFirst="0" w:colLast="0" w:name="_2xxf4j9l6tci" w:id="8"/>
      <w:bookmarkEnd w:id="8"/>
      <w:r w:rsidDel="00000000" w:rsidR="00000000" w:rsidRPr="00000000">
        <w:rPr>
          <w:rFonts w:ascii="Arial" w:cs="Arial" w:eastAsia="Arial" w:hAnsi="Arial"/>
          <w:rtl w:val="0"/>
        </w:rPr>
        <w:t xml:space="preserve">3.2 Regla para elegir el ganador</w:t>
      </w:r>
      <w:r w:rsidDel="00000000" w:rsidR="00000000" w:rsidRPr="00000000">
        <w:rPr>
          <w:rtl w:val="0"/>
        </w:rPr>
      </w:r>
    </w:p>
    <w:p w:rsidR="00000000" w:rsidDel="00000000" w:rsidP="00000000" w:rsidRDefault="00000000" w:rsidRPr="00000000" w14:paraId="0000009A">
      <w:pPr>
        <w:jc w:val="both"/>
        <w:rPr>
          <w:rFonts w:ascii="Arial" w:cs="Arial" w:eastAsia="Arial" w:hAnsi="Arial"/>
        </w:rPr>
      </w:pPr>
      <w:r w:rsidDel="00000000" w:rsidR="00000000" w:rsidRPr="00000000">
        <w:rPr>
          <w:rFonts w:ascii="Arial" w:cs="Arial" w:eastAsia="Arial" w:hAnsi="Arial"/>
          <w:rtl w:val="0"/>
        </w:rPr>
        <w:t xml:space="preserve">La fijamos el 14 de octubre, antes de entrenar: </w:t>
      </w:r>
      <w:r w:rsidDel="00000000" w:rsidR="00000000" w:rsidRPr="00000000">
        <w:rPr>
          <w:rFonts w:ascii="Arial" w:cs="Arial" w:eastAsia="Arial" w:hAnsi="Arial"/>
          <w:b w:val="1"/>
          <w:bCs w:val="1"/>
          <w:rtl w:val="0"/>
        </w:rPr>
        <w:t xml:space="preserve">gana el de mayor AUROC medio, salvo que uno más simple quede a menos de una desviación estándar; entonces gana el simple.</w:t>
      </w:r>
      <w:r w:rsidDel="00000000" w:rsidR="00000000" w:rsidRPr="00000000">
        <w:rPr>
          <w:rFonts w:ascii="Arial" w:cs="Arial" w:eastAsia="Arial" w:hAnsi="Arial"/>
          <w:rtl w:val="0"/>
        </w:rPr>
        <w:t xml:space="preserve"> Si siguen empatados, decide la pendiente de calibración más cercana a 1. McElfresh et al. (2023) encuentran diferencias pequeñas entre familias en datos tabulares, y un modelo simple se le explica mejor al usuario. El umbral de una desviación y el desempate son decisión nuestra.</w:t>
      </w:r>
    </w:p>
    <w:p w:rsidR="00000000" w:rsidDel="00000000" w:rsidP="00000000" w:rsidRDefault="00000000" w:rsidRPr="00000000" w14:paraId="0000009B">
      <w:pPr>
        <w:jc w:val="both"/>
        <w:rPr>
          <w:rFonts w:ascii="Arial" w:cs="Arial" w:eastAsia="Arial" w:hAnsi="Arial"/>
        </w:rPr>
      </w:pPr>
      <w:r w:rsidDel="00000000" w:rsidR="00000000" w:rsidRPr="00000000">
        <w:rPr>
          <w:rtl w:val="0"/>
        </w:rPr>
      </w:r>
    </w:p>
    <w:p w:rsidR="00000000" w:rsidDel="00000000" w:rsidP="00000000" w:rsidRDefault="00000000" w:rsidRPr="00000000" w14:paraId="0000009C">
      <w:pPr>
        <w:numPr>
          <w:ilvl w:val="0"/>
          <w:numId w:val="2"/>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Orden de simplicidad.</w:t>
      </w:r>
      <w:r w:rsidDel="00000000" w:rsidR="00000000" w:rsidRPr="00000000">
        <w:rPr>
          <w:rFonts w:ascii="Arial" w:cs="Arial" w:eastAsia="Arial" w:hAnsi="Arial"/>
          <w:rtl w:val="0"/>
        </w:rPr>
        <w:t xml:space="preserve"> Un modelo es más simple que otro si aparece antes en la Tabla 7:  XGBoost, LightGBM, CatBoost . Entre los tres modelos de boosting no hay una diferencia real de complejidad, así que su orden es una convención: XGBoost, luego LightGBM y luego CatBoost.</w:t>
      </w:r>
    </w:p>
    <w:p w:rsidR="00000000" w:rsidDel="00000000" w:rsidP="00000000" w:rsidRDefault="00000000" w:rsidRPr="00000000" w14:paraId="0000009D">
      <w:pPr>
        <w:numPr>
          <w:ilvl w:val="0"/>
          <w:numId w:val="2"/>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Desviación de referencia.</w:t>
      </w:r>
      <w:r w:rsidDel="00000000" w:rsidR="00000000" w:rsidRPr="00000000">
        <w:rPr>
          <w:rFonts w:ascii="Arial" w:cs="Arial" w:eastAsia="Arial" w:hAnsi="Arial"/>
          <w:rtl w:val="0"/>
        </w:rPr>
        <w:t xml:space="preserve"> Se usa la desviación estándar del AUROC del mejor modelo en las 5 particiones externas. Cuentan como empatados los modelos cuyo AUROC medio no queda más de una desviación por debajo de ese mejor modelo.</w:t>
      </w:r>
    </w:p>
    <w:p w:rsidR="00000000" w:rsidDel="00000000" w:rsidP="00000000" w:rsidRDefault="00000000" w:rsidRPr="00000000" w14:paraId="0000009E">
      <w:pPr>
        <w:numPr>
          <w:ilvl w:val="0"/>
          <w:numId w:val="2"/>
        </w:numPr>
        <w:spacing w:after="240" w:before="0" w:beforeAutospacing="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Reemplazo en los experimentos.</w:t>
      </w:r>
      <w:r w:rsidDel="00000000" w:rsidR="00000000" w:rsidRPr="00000000">
        <w:rPr>
          <w:rFonts w:ascii="Arial" w:cs="Arial" w:eastAsia="Arial" w:hAnsi="Arial"/>
          <w:rtl w:val="0"/>
        </w:rPr>
        <w:t xml:space="preserve"> Antes de correr los 24 experimentos fijamos esta condición: un experimento reemplaza a XGBoost solo si supera su AUROC más una desviación, es decir, 0,6636. Así, una mejora del tamaño del ruido entre particiones no basta para cambiar de modelo. El mejor experimento llegó a 0,6613, así que XGBoost sigue siendo el ganador.</w:t>
      </w:r>
    </w:p>
    <w:p w:rsidR="00000000" w:rsidDel="00000000" w:rsidP="00000000" w:rsidRDefault="00000000" w:rsidRPr="00000000" w14:paraId="0000009F">
      <w:pPr>
        <w:jc w:val="both"/>
        <w:rPr>
          <w:rFonts w:ascii="Arial" w:cs="Arial" w:eastAsia="Arial" w:hAnsi="Arial"/>
        </w:rPr>
      </w:pPr>
      <w:r w:rsidDel="00000000" w:rsidR="00000000" w:rsidRPr="00000000">
        <w:rPr>
          <w:rtl w:val="0"/>
        </w:rPr>
      </w:r>
    </w:p>
    <w:p w:rsidR="00000000" w:rsidDel="00000000" w:rsidP="00000000" w:rsidRDefault="00000000" w:rsidRPr="00000000" w14:paraId="000000A0">
      <w:pPr>
        <w:pStyle w:val="Heading2"/>
        <w:keepNext w:val="0"/>
        <w:keepLines w:val="0"/>
        <w:spacing w:after="80" w:before="360" w:lineRule="auto"/>
        <w:rPr>
          <w:rFonts w:ascii="Arial" w:cs="Arial" w:eastAsia="Arial" w:hAnsi="Arial"/>
          <w:color w:val="1b1b1b"/>
          <w:sz w:val="34"/>
          <w:szCs w:val="34"/>
        </w:rPr>
      </w:pPr>
      <w:bookmarkStart w:colFirst="0" w:colLast="0" w:name="_fw2uinrdzn6i" w:id="9"/>
      <w:bookmarkEnd w:id="9"/>
      <w:r w:rsidDel="00000000" w:rsidR="00000000" w:rsidRPr="00000000">
        <w:rPr>
          <w:rFonts w:ascii="Arial" w:cs="Arial" w:eastAsia="Arial" w:hAnsi="Arial"/>
          <w:rtl w:val="0"/>
        </w:rPr>
        <w:t xml:space="preserve">3.3 Exploración adicional</w:t>
      </w:r>
      <w:r w:rsidDel="00000000" w:rsidR="00000000" w:rsidRPr="00000000">
        <w:rPr>
          <w:rtl w:val="0"/>
        </w:rPr>
      </w:r>
    </w:p>
    <w:p w:rsidR="00000000" w:rsidDel="00000000" w:rsidP="00000000" w:rsidRDefault="00000000" w:rsidRPr="00000000" w14:paraId="000000A1">
      <w:pPr>
        <w:numPr>
          <w:ilvl w:val="0"/>
          <w:numId w:val="4"/>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Antes de correrla, el 21 de octubre, registramos una exploración más amplia: rangos ampliados para XGBoost, LightGBM y CatBoost (más tasas de aprendizaje, profundidades y regularización) y cuatro versiones de las variables (sin cambios, sin edad al cuadrado, con logaritmo del ingreso y con edad por ingreso). Son 24 experimentos. Un experimento reemplaza al ganador solo si su AUROC lo supera por más de una desviación estándar. </w:t>
      </w:r>
    </w:p>
    <w:p w:rsidR="00000000" w:rsidDel="00000000" w:rsidP="00000000" w:rsidRDefault="00000000" w:rsidRPr="00000000" w14:paraId="000000A2">
      <w:pPr>
        <w:numPr>
          <w:ilvl w:val="0"/>
          <w:numId w:val="4"/>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Medir a XGBoost una sola vez en el 20 % de prueba. Reportar el AUROC con intervalo de confianza del 95 % (1.000 remuestreos), el AUPRC, la calibración, el Brier con beneficio neto y las ventas en el 10 % de mayor riesgo.</w:t>
      </w:r>
    </w:p>
    <w:p w:rsidR="00000000" w:rsidDel="00000000" w:rsidP="00000000" w:rsidRDefault="00000000" w:rsidRPr="00000000" w14:paraId="000000A3">
      <w:pPr>
        <w:numPr>
          <w:ilvl w:val="0"/>
          <w:numId w:val="4"/>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Explicar sus predicciones con SHAP y revisar que ninguna variable domine la explicación, que es una de las alarmas de fuga.</w:t>
      </w:r>
    </w:p>
    <w:p w:rsidR="00000000" w:rsidDel="00000000" w:rsidP="00000000" w:rsidRDefault="00000000" w:rsidRPr="00000000" w14:paraId="000000A4">
      <w:pPr>
        <w:numPr>
          <w:ilvl w:val="0"/>
          <w:numId w:val="4"/>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Probarlo en EE. UU. con la NFCS para ver cómo se comporta al cambiar de población.</w:t>
      </w:r>
    </w:p>
    <w:p w:rsidR="00000000" w:rsidDel="00000000" w:rsidP="00000000" w:rsidRDefault="00000000" w:rsidRPr="00000000" w14:paraId="000000A5">
      <w:pPr>
        <w:jc w:val="both"/>
        <w:rPr>
          <w:rFonts w:ascii="Arial" w:cs="Arial" w:eastAsia="Arial" w:hAnsi="Arial"/>
        </w:rPr>
      </w:pPr>
      <w:r w:rsidDel="00000000" w:rsidR="00000000" w:rsidRPr="00000000">
        <w:rPr>
          <w:rtl w:val="0"/>
        </w:rPr>
      </w:r>
    </w:p>
    <w:p w:rsidR="00000000" w:rsidDel="00000000" w:rsidP="00000000" w:rsidRDefault="00000000" w:rsidRPr="00000000" w14:paraId="000000A6">
      <w:pPr>
        <w:jc w:val="both"/>
        <w:rPr>
          <w:rFonts w:ascii="Arial" w:cs="Arial" w:eastAsia="Arial" w:hAnsi="Arial"/>
        </w:rPr>
      </w:pP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rFonts w:ascii="Arial" w:cs="Arial" w:eastAsia="Arial" w:hAnsi="Arial"/>
          <w:color w:val="1b1b1b"/>
          <w:sz w:val="46"/>
          <w:szCs w:val="46"/>
        </w:rPr>
      </w:pPr>
      <w:bookmarkStart w:colFirst="0" w:colLast="0" w:name="_qn4fejd1ikmt" w:id="10"/>
      <w:bookmarkEnd w:id="10"/>
      <w:r w:rsidDel="00000000" w:rsidR="00000000" w:rsidRPr="00000000">
        <w:rPr>
          <w:rFonts w:ascii="Arial" w:cs="Arial" w:eastAsia="Arial" w:hAnsi="Arial"/>
          <w:rtl w:val="0"/>
        </w:rPr>
        <w:t xml:space="preserve">Tarea 4- Aplicar el modelo de validación diseñado en el paso anterior</w:t>
      </w:r>
      <w:r w:rsidDel="00000000" w:rsidR="00000000" w:rsidRPr="00000000">
        <w:rPr>
          <w:rtl w:val="0"/>
        </w:rPr>
      </w:r>
    </w:p>
    <w:p w:rsidR="00000000" w:rsidDel="00000000" w:rsidP="00000000" w:rsidRDefault="00000000" w:rsidRPr="00000000" w14:paraId="000000A8">
      <w:pPr>
        <w:pStyle w:val="Heading2"/>
        <w:keepNext w:val="0"/>
        <w:keepLines w:val="0"/>
        <w:spacing w:after="80" w:before="360" w:lineRule="auto"/>
        <w:rPr>
          <w:rFonts w:ascii="Arial" w:cs="Arial" w:eastAsia="Arial" w:hAnsi="Arial"/>
          <w:color w:val="1b1b1b"/>
          <w:sz w:val="34"/>
          <w:szCs w:val="34"/>
        </w:rPr>
      </w:pPr>
      <w:bookmarkStart w:colFirst="0" w:colLast="0" w:name="_lmx13cm312t0" w:id="11"/>
      <w:bookmarkEnd w:id="11"/>
      <w:r w:rsidDel="00000000" w:rsidR="00000000" w:rsidRPr="00000000">
        <w:rPr>
          <w:rFonts w:ascii="Arial" w:cs="Arial" w:eastAsia="Arial" w:hAnsi="Arial"/>
          <w:rtl w:val="0"/>
        </w:rPr>
        <w:t xml:space="preserve">4.1 Comparación de los siete modelos</w:t>
      </w:r>
      <w:r w:rsidDel="00000000" w:rsidR="00000000" w:rsidRPr="00000000">
        <w:rPr>
          <w:rtl w:val="0"/>
        </w:rPr>
      </w:r>
    </w:p>
    <w:p w:rsidR="00000000" w:rsidDel="00000000" w:rsidP="00000000" w:rsidRDefault="00000000" w:rsidRPr="00000000" w14:paraId="000000A9">
      <w:pPr>
        <w:spacing w:after="60" w:before="120" w:lineRule="auto"/>
        <w:rPr>
          <w:rFonts w:ascii="Arial" w:cs="Arial" w:eastAsia="Arial" w:hAnsi="Arial"/>
          <w:color w:val="1f3a5e"/>
          <w:sz w:val="19"/>
          <w:szCs w:val="19"/>
        </w:rPr>
      </w:pPr>
      <w:r w:rsidDel="00000000" w:rsidR="00000000" w:rsidRPr="00000000">
        <w:rPr>
          <w:rFonts w:ascii="Arial" w:cs="Arial" w:eastAsia="Arial" w:hAnsi="Arial"/>
          <w:b w:val="1"/>
          <w:bCs w:val="1"/>
          <w:color w:val="1f3a5e"/>
          <w:sz w:val="19"/>
          <w:szCs w:val="19"/>
          <w:rtl w:val="0"/>
        </w:rPr>
        <w:t xml:space="preserve">Tabla 9. </w:t>
      </w:r>
      <w:r w:rsidDel="00000000" w:rsidR="00000000" w:rsidRPr="00000000">
        <w:rPr>
          <w:rFonts w:ascii="Arial" w:cs="Arial" w:eastAsia="Arial" w:hAnsi="Arial"/>
          <w:color w:val="1f3a5e"/>
          <w:sz w:val="19"/>
          <w:szCs w:val="19"/>
          <w:rtl w:val="0"/>
        </w:rPr>
        <w:t xml:space="preserve">Resultados de la validación anidada 5 × 3 (media de las 5 particiones externas).</w:t>
      </w:r>
    </w:p>
    <w:tbl>
      <w:tblPr>
        <w:tblStyle w:val="Table6"/>
        <w:tblW w:w="974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9.3230769230768"/>
        <w:gridCol w:w="1604.3415384615387"/>
        <w:gridCol w:w="1604.3415384615387"/>
        <w:gridCol w:w="1574.353846153846"/>
        <w:gridCol w:w="1664.316923076923"/>
        <w:gridCol w:w="1649.3230769230768"/>
        <w:tblGridChange w:id="0">
          <w:tblGrid>
            <w:gridCol w:w="1649.3230769230768"/>
            <w:gridCol w:w="1604.3415384615387"/>
            <w:gridCol w:w="1604.3415384615387"/>
            <w:gridCol w:w="1574.353846153846"/>
            <w:gridCol w:w="1664.316923076923"/>
            <w:gridCol w:w="1649.3230769230768"/>
          </w:tblGrid>
        </w:tblGridChange>
      </w:tblGrid>
      <w:tr>
        <w:trPr>
          <w:cantSplit w:val="0"/>
          <w:trHeight w:val="285" w:hRule="atLeast"/>
          <w:tblHeader w:val="0"/>
        </w:trPr>
        <w:tc>
          <w:tcPr>
            <w:tcBorders>
              <w:top w:color="b4bcc6" w:space="0" w:sz="5" w:val="single"/>
              <w:left w:color="b4bcc6" w:space="0" w:sz="5" w:val="single"/>
              <w:bottom w:color="b4bcc6" w:space="0" w:sz="5" w:val="single"/>
              <w:right w:color="b4bcc6" w:space="0" w:sz="5" w:val="single"/>
            </w:tcBorders>
            <w:shd w:fill="1f3a5e" w:val="clear"/>
            <w:tcMar>
              <w:top w:w="0.0" w:type="dxa"/>
              <w:left w:w="100.0" w:type="dxa"/>
              <w:bottom w:w="0.0" w:type="dxa"/>
              <w:right w:w="100.0" w:type="dxa"/>
            </w:tcMar>
            <w:vAlign w:val="top"/>
          </w:tcPr>
          <w:p w:rsidR="00000000" w:rsidDel="00000000" w:rsidP="00000000" w:rsidRDefault="00000000" w:rsidRPr="00000000" w14:paraId="000000AA">
            <w:pPr>
              <w:spacing w:after="20" w:before="2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Modelo</w:t>
            </w:r>
          </w:p>
        </w:tc>
        <w:tc>
          <w:tcPr>
            <w:tcBorders>
              <w:top w:color="b4bcc6" w:space="0" w:sz="5" w:val="single"/>
              <w:left w:color="000000" w:space="0" w:sz="0" w:val="nil"/>
              <w:bottom w:color="b4bcc6" w:space="0" w:sz="5" w:val="single"/>
              <w:right w:color="b4bcc6" w:space="0" w:sz="5" w:val="single"/>
            </w:tcBorders>
            <w:shd w:fill="1f3a5e" w:val="clear"/>
            <w:tcMar>
              <w:top w:w="0.0" w:type="dxa"/>
              <w:left w:w="100.0" w:type="dxa"/>
              <w:bottom w:w="0.0" w:type="dxa"/>
              <w:right w:w="100.0" w:type="dxa"/>
            </w:tcMar>
            <w:vAlign w:val="top"/>
          </w:tcPr>
          <w:p w:rsidR="00000000" w:rsidDel="00000000" w:rsidP="00000000" w:rsidRDefault="00000000" w:rsidRPr="00000000" w14:paraId="000000AB">
            <w:pPr>
              <w:spacing w:after="20" w:before="2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AUROC</w:t>
            </w:r>
          </w:p>
        </w:tc>
        <w:tc>
          <w:tcPr>
            <w:tcBorders>
              <w:top w:color="b4bcc6" w:space="0" w:sz="5" w:val="single"/>
              <w:left w:color="000000" w:space="0" w:sz="0" w:val="nil"/>
              <w:bottom w:color="b4bcc6" w:space="0" w:sz="5" w:val="single"/>
              <w:right w:color="b4bcc6" w:space="0" w:sz="5" w:val="single"/>
            </w:tcBorders>
            <w:shd w:fill="1f3a5e" w:val="clear"/>
            <w:tcMar>
              <w:top w:w="0.0" w:type="dxa"/>
              <w:left w:w="100.0" w:type="dxa"/>
              <w:bottom w:w="0.0" w:type="dxa"/>
              <w:right w:w="100.0" w:type="dxa"/>
            </w:tcMar>
            <w:vAlign w:val="top"/>
          </w:tcPr>
          <w:p w:rsidR="00000000" w:rsidDel="00000000" w:rsidP="00000000" w:rsidRDefault="00000000" w:rsidRPr="00000000" w14:paraId="000000AC">
            <w:pPr>
              <w:spacing w:after="20" w:before="2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AUPRC</w:t>
            </w:r>
          </w:p>
        </w:tc>
        <w:tc>
          <w:tcPr>
            <w:tcBorders>
              <w:top w:color="b4bcc6" w:space="0" w:sz="5" w:val="single"/>
              <w:left w:color="000000" w:space="0" w:sz="0" w:val="nil"/>
              <w:bottom w:color="b4bcc6" w:space="0" w:sz="5" w:val="single"/>
              <w:right w:color="b4bcc6" w:space="0" w:sz="5" w:val="single"/>
            </w:tcBorders>
            <w:shd w:fill="1f3a5e" w:val="clear"/>
            <w:tcMar>
              <w:top w:w="0.0" w:type="dxa"/>
              <w:left w:w="100.0" w:type="dxa"/>
              <w:bottom w:w="0.0" w:type="dxa"/>
              <w:right w:w="100.0" w:type="dxa"/>
            </w:tcMar>
            <w:vAlign w:val="top"/>
          </w:tcPr>
          <w:p w:rsidR="00000000" w:rsidDel="00000000" w:rsidP="00000000" w:rsidRDefault="00000000" w:rsidRPr="00000000" w14:paraId="000000AD">
            <w:pPr>
              <w:spacing w:after="20" w:before="2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Brier</w:t>
            </w:r>
          </w:p>
        </w:tc>
        <w:tc>
          <w:tcPr>
            <w:tcBorders>
              <w:top w:color="b4bcc6" w:space="0" w:sz="5" w:val="single"/>
              <w:left w:color="000000" w:space="0" w:sz="0" w:val="nil"/>
              <w:bottom w:color="b4bcc6" w:space="0" w:sz="5" w:val="single"/>
              <w:right w:color="b4bcc6" w:space="0" w:sz="5" w:val="single"/>
            </w:tcBorders>
            <w:shd w:fill="1f3a5e" w:val="clear"/>
            <w:tcMar>
              <w:top w:w="0.0" w:type="dxa"/>
              <w:left w:w="100.0" w:type="dxa"/>
              <w:bottom w:w="0.0" w:type="dxa"/>
              <w:right w:w="100.0" w:type="dxa"/>
            </w:tcMar>
            <w:vAlign w:val="top"/>
          </w:tcPr>
          <w:p w:rsidR="00000000" w:rsidDel="00000000" w:rsidP="00000000" w:rsidRDefault="00000000" w:rsidRPr="00000000" w14:paraId="000000AE">
            <w:pPr>
              <w:spacing w:after="20" w:before="2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Intercepto</w:t>
            </w:r>
          </w:p>
        </w:tc>
        <w:tc>
          <w:tcPr>
            <w:tcBorders>
              <w:top w:color="b4bcc6" w:space="0" w:sz="5" w:val="single"/>
              <w:left w:color="000000" w:space="0" w:sz="0" w:val="nil"/>
              <w:bottom w:color="b4bcc6" w:space="0" w:sz="5" w:val="single"/>
              <w:right w:color="b4bcc6" w:space="0" w:sz="5" w:val="single"/>
            </w:tcBorders>
            <w:shd w:fill="1f3a5e" w:val="clear"/>
            <w:tcMar>
              <w:top w:w="0.0" w:type="dxa"/>
              <w:left w:w="100.0" w:type="dxa"/>
              <w:bottom w:w="0.0" w:type="dxa"/>
              <w:right w:w="100.0" w:type="dxa"/>
            </w:tcMar>
            <w:vAlign w:val="top"/>
          </w:tcPr>
          <w:p w:rsidR="00000000" w:rsidDel="00000000" w:rsidP="00000000" w:rsidRDefault="00000000" w:rsidRPr="00000000" w14:paraId="000000AF">
            <w:pPr>
              <w:spacing w:after="20" w:before="2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Pendiente</w:t>
            </w:r>
          </w:p>
        </w:tc>
      </w:tr>
      <w:tr>
        <w:trPr>
          <w:cantSplit w:val="0"/>
          <w:trHeight w:val="285" w:hRule="atLeast"/>
          <w:tblHeader w:val="0"/>
        </w:trPr>
        <w:tc>
          <w:tcPr>
            <w:tcBorders>
              <w:top w:color="000000" w:space="0" w:sz="0" w:val="nil"/>
              <w:left w:color="b4bcc6" w:space="0" w:sz="5" w:val="single"/>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B0">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Trivial</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0,500</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B2">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0,199</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B3">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0,159</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B4">
            <w:pPr>
              <w:spacing w:after="20" w:before="20" w:line="276" w:lineRule="auto"/>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−0,47</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B5">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0,66</w:t>
            </w:r>
          </w:p>
        </w:tc>
      </w:tr>
      <w:tr>
        <w:trPr>
          <w:cantSplit w:val="0"/>
          <w:trHeight w:val="285" w:hRule="atLeast"/>
          <w:tblHeader w:val="0"/>
        </w:trPr>
        <w:tc>
          <w:tcPr>
            <w:tcBorders>
              <w:top w:color="000000" w:space="0" w:sz="0" w:val="nil"/>
              <w:left w:color="b4bcc6" w:space="0" w:sz="5" w:val="single"/>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B6">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Regresión logística</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B7">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0,646 ± 0,002</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B8">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0,305</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B9">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0,152</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BA">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0,00</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BB">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1,00</w:t>
            </w:r>
          </w:p>
        </w:tc>
      </w:tr>
      <w:tr>
        <w:trPr>
          <w:cantSplit w:val="0"/>
          <w:trHeight w:val="285" w:hRule="atLeast"/>
          <w:tblHeader w:val="0"/>
        </w:trPr>
        <w:tc>
          <w:tcPr>
            <w:tcBorders>
              <w:top w:color="000000" w:space="0" w:sz="0" w:val="nil"/>
              <w:left w:color="b4bcc6" w:space="0" w:sz="5" w:val="single"/>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BC">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Random Forest</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BD">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0,657 ± 0,004</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0,330</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0,151</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C0">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0,30</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C1">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1,23</w:t>
            </w:r>
          </w:p>
        </w:tc>
      </w:tr>
      <w:tr>
        <w:trPr>
          <w:cantSplit w:val="0"/>
          <w:trHeight w:val="285" w:hRule="atLeast"/>
          <w:tblHeader w:val="0"/>
        </w:trPr>
        <w:tc>
          <w:tcPr>
            <w:tcBorders>
              <w:top w:color="000000" w:space="0" w:sz="0" w:val="nil"/>
              <w:left w:color="b4bcc6" w:space="0" w:sz="5" w:val="single"/>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C2">
            <w:pPr>
              <w:spacing w:after="20" w:before="2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XGBoost</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C3">
            <w:pPr>
              <w:spacing w:after="20" w:before="2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0,660 ± 0,004</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C4">
            <w:pPr>
              <w:spacing w:after="20" w:before="2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0,331</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C5">
            <w:pPr>
              <w:spacing w:after="20" w:before="2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0,150</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C6">
            <w:pPr>
              <w:spacing w:after="20" w:before="2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0,07</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C7">
            <w:pPr>
              <w:spacing w:after="20" w:before="2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1,06</w:t>
            </w:r>
          </w:p>
        </w:tc>
      </w:tr>
      <w:tr>
        <w:trPr>
          <w:cantSplit w:val="0"/>
          <w:trHeight w:val="285" w:hRule="atLeast"/>
          <w:tblHeader w:val="0"/>
        </w:trPr>
        <w:tc>
          <w:tcPr>
            <w:tcBorders>
              <w:top w:color="000000" w:space="0" w:sz="0" w:val="nil"/>
              <w:left w:color="b4bcc6" w:space="0" w:sz="5" w:val="single"/>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C8">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LightGBM</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C9">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0,660 ± 0,004</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CA">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0,331</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CB">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0,150</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CC">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0,07</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CD">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1,05</w:t>
            </w:r>
          </w:p>
        </w:tc>
      </w:tr>
      <w:tr>
        <w:trPr>
          <w:cantSplit w:val="0"/>
          <w:trHeight w:val="285" w:hRule="atLeast"/>
          <w:tblHeader w:val="0"/>
        </w:trPr>
        <w:tc>
          <w:tcPr>
            <w:tcBorders>
              <w:top w:color="000000" w:space="0" w:sz="0" w:val="nil"/>
              <w:left w:color="b4bcc6" w:space="0" w:sz="5" w:val="single"/>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CE">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CatBoost</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CF">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0,661 ± 0,004</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D0">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0,332</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D1">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0,150</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D2">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0,13</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D3">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1,10</w:t>
            </w:r>
          </w:p>
        </w:tc>
      </w:tr>
      <w:tr>
        <w:trPr>
          <w:cantSplit w:val="0"/>
          <w:trHeight w:val="285" w:hRule="atLeast"/>
          <w:tblHeader w:val="0"/>
        </w:trPr>
        <w:tc>
          <w:tcPr>
            <w:tcBorders>
              <w:top w:color="000000" w:space="0" w:sz="0" w:val="nil"/>
              <w:left w:color="b4bcc6" w:space="0" w:sz="5" w:val="single"/>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D4">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Red neuronal</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D5">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0,635 ± 0,018</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D6">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0,303</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D7">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0,153</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D8">
            <w:pPr>
              <w:spacing w:after="20" w:before="20" w:line="276" w:lineRule="auto"/>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−0,28</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D9">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0,82</w:t>
            </w:r>
          </w:p>
        </w:tc>
      </w:tr>
    </w:tbl>
    <w:p w:rsidR="00000000" w:rsidDel="00000000" w:rsidP="00000000" w:rsidRDefault="00000000" w:rsidRPr="00000000" w14:paraId="000000DA">
      <w:pPr>
        <w:spacing w:after="160" w:lineRule="auto"/>
        <w:rPr>
          <w:rFonts w:ascii="Arial" w:cs="Arial" w:eastAsia="Arial" w:hAnsi="Arial"/>
          <w:i w:val="1"/>
          <w:iCs w:val="1"/>
          <w:color w:val="555f6b"/>
          <w:sz w:val="17"/>
          <w:szCs w:val="17"/>
        </w:rPr>
      </w:pPr>
      <w:r w:rsidDel="00000000" w:rsidR="00000000" w:rsidRPr="00000000">
        <w:rPr>
          <w:rFonts w:ascii="Arial" w:cs="Arial" w:eastAsia="Arial" w:hAnsi="Arial"/>
          <w:i w:val="1"/>
          <w:iCs w:val="1"/>
          <w:color w:val="555f6b"/>
          <w:sz w:val="17"/>
          <w:szCs w:val="17"/>
          <w:rtl w:val="0"/>
        </w:rPr>
        <w:t xml:space="preserve">Fuente: elaboración propia.</w:t>
      </w:r>
    </w:p>
    <w:p w:rsidR="00000000" w:rsidDel="00000000" w:rsidP="00000000" w:rsidRDefault="00000000" w:rsidRPr="00000000" w14:paraId="000000DB">
      <w:pPr>
        <w:jc w:val="both"/>
        <w:rPr>
          <w:rFonts w:ascii="Arial" w:cs="Arial" w:eastAsia="Arial" w:hAnsi="Arial"/>
        </w:rPr>
      </w:pPr>
      <w:r w:rsidDel="00000000" w:rsidR="00000000" w:rsidRPr="00000000">
        <w:rPr>
          <w:rFonts w:ascii="Arial" w:cs="Arial" w:eastAsia="Arial" w:hAnsi="Arial"/>
          <w:b w:val="1"/>
          <w:bCs w:val="1"/>
          <w:rtl w:val="0"/>
        </w:rPr>
        <w:t xml:space="preserve">Gana XGBoost.</w:t>
      </w:r>
      <w:r w:rsidDel="00000000" w:rsidR="00000000" w:rsidRPr="00000000">
        <w:rPr>
          <w:rFonts w:ascii="Arial" w:cs="Arial" w:eastAsia="Arial" w:hAnsi="Arial"/>
          <w:rtl w:val="0"/>
        </w:rPr>
        <w:t xml:space="preserve"> CatBoost sacó 0,661, pero la diferencia con XGBoost (0,001) es menor que una desviación (0,004), y por la regla gana el más simple de la lista. Además, XGBoost calibra mejor: pendiente 1,06 frente a 1,10. La validación eligió learning_rate 0,03 y profundidad 3.</w:t>
      </w:r>
    </w:p>
    <w:p w:rsidR="00000000" w:rsidDel="00000000" w:rsidP="00000000" w:rsidRDefault="00000000" w:rsidRPr="00000000" w14:paraId="000000DC">
      <w:pPr>
        <w:jc w:val="both"/>
        <w:rPr>
          <w:rFonts w:ascii="Arial" w:cs="Arial" w:eastAsia="Arial" w:hAnsi="Arial"/>
        </w:rPr>
      </w:pPr>
      <w:r w:rsidDel="00000000" w:rsidR="00000000" w:rsidRPr="00000000">
        <w:rPr>
          <w:rFonts w:ascii="Arial" w:cs="Arial" w:eastAsia="Arial" w:hAnsi="Arial"/>
          <w:rtl w:val="0"/>
        </w:rPr>
        <w:t xml:space="preserve">Qué dice esto de nuestras hipótesis:</w:t>
      </w:r>
    </w:p>
    <w:p w:rsidR="00000000" w:rsidDel="00000000" w:rsidP="00000000" w:rsidRDefault="00000000" w:rsidRPr="00000000" w14:paraId="000000DD">
      <w:p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H3 se cumple.</w:t>
      </w:r>
      <w:r w:rsidDel="00000000" w:rsidR="00000000" w:rsidRPr="00000000">
        <w:rPr>
          <w:rFonts w:ascii="Arial" w:cs="Arial" w:eastAsia="Arial" w:hAnsi="Arial"/>
          <w:rtl w:val="0"/>
        </w:rPr>
        <w:t xml:space="preserve"> Un modelo solo con respuestas de cuestionario se distingue mejor que el azar (0,660 frente a 0,500), pero bastante peor que uno con historial de portafolio (0,821 en Elkind et al., 2022).</w:t>
      </w:r>
    </w:p>
    <w:p w:rsidR="00000000" w:rsidDel="00000000" w:rsidP="00000000" w:rsidRDefault="00000000" w:rsidRPr="00000000" w14:paraId="000000DE">
      <w:p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H4 no se cumple.</w:t>
      </w:r>
      <w:r w:rsidDel="00000000" w:rsidR="00000000" w:rsidRPr="00000000">
        <w:rPr>
          <w:rFonts w:ascii="Arial" w:cs="Arial" w:eastAsia="Arial" w:hAnsi="Arial"/>
          <w:rtl w:val="0"/>
        </w:rPr>
        <w:t xml:space="preserve"> Esperábamos que los árboles no superaran a la logística por más que la variación, pero XGBoost la supera por 0,014, unas cuatro desviaciones. La diferencia es real, aunque pequeña.</w:t>
      </w:r>
    </w:p>
    <w:p w:rsidR="00000000" w:rsidDel="00000000" w:rsidP="00000000" w:rsidRDefault="00000000" w:rsidRPr="00000000" w14:paraId="000000DF">
      <w:pPr>
        <w:spacing w:after="60" w:lineRule="auto"/>
        <w:ind w:left="72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La red neuronal queda de última y es la más inestable (± 0,018), como anticipan Grinsztajn para datos tabulares.</w:t>
      </w:r>
    </w:p>
    <w:p w:rsidR="00000000" w:rsidDel="00000000" w:rsidP="00000000" w:rsidRDefault="00000000" w:rsidRPr="00000000" w14:paraId="000000E0">
      <w:pPr>
        <w:pStyle w:val="Heading2"/>
        <w:keepNext w:val="0"/>
        <w:keepLines w:val="0"/>
        <w:spacing w:after="80" w:before="360" w:lineRule="auto"/>
        <w:rPr>
          <w:rFonts w:ascii="Arial" w:cs="Arial" w:eastAsia="Arial" w:hAnsi="Arial"/>
          <w:color w:val="1b1b1b"/>
          <w:sz w:val="34"/>
          <w:szCs w:val="34"/>
        </w:rPr>
      </w:pPr>
      <w:bookmarkStart w:colFirst="0" w:colLast="0" w:name="_pevukemky38" w:id="12"/>
      <w:bookmarkEnd w:id="12"/>
      <w:r w:rsidDel="00000000" w:rsidR="00000000" w:rsidRPr="00000000">
        <w:rPr>
          <w:rFonts w:ascii="Arial" w:cs="Arial" w:eastAsia="Arial" w:hAnsi="Arial"/>
          <w:rtl w:val="0"/>
        </w:rPr>
        <w:t xml:space="preserve">4.2 Resultados de la exploración adicional</w:t>
      </w:r>
      <w:r w:rsidDel="00000000" w:rsidR="00000000" w:rsidRPr="00000000">
        <w:rPr>
          <w:rtl w:val="0"/>
        </w:rPr>
      </w:r>
    </w:p>
    <w:p w:rsidR="00000000" w:rsidDel="00000000" w:rsidP="00000000" w:rsidRDefault="00000000" w:rsidRPr="00000000" w14:paraId="000000E1">
      <w:pPr>
        <w:jc w:val="both"/>
        <w:rPr>
          <w:rFonts w:ascii="Arial" w:cs="Arial" w:eastAsia="Arial" w:hAnsi="Arial"/>
          <w:u w:val="single"/>
        </w:rPr>
      </w:pPr>
      <w:r w:rsidDel="00000000" w:rsidR="00000000" w:rsidRPr="00000000">
        <w:rPr>
          <w:rFonts w:ascii="Arial" w:cs="Arial" w:eastAsia="Arial" w:hAnsi="Arial"/>
          <w:b w:val="1"/>
          <w:bCs w:val="1"/>
          <w:rtl w:val="0"/>
        </w:rPr>
        <w:t xml:space="preserve">XGBoost sigue siendo el ganador.</w:t>
      </w:r>
      <w:r w:rsidDel="00000000" w:rsidR="00000000" w:rsidRPr="00000000">
        <w:rPr>
          <w:rFonts w:ascii="Arial" w:cs="Arial" w:eastAsia="Arial" w:hAnsi="Arial"/>
          <w:rtl w:val="0"/>
        </w:rPr>
        <w:t xml:space="preserve"> Para reemplazarlo había que pasar de 0,6636 (su AUROC más una desviación) y el mejor experimento llegó a 0,6613. </w:t>
      </w:r>
      <w:r w:rsidDel="00000000" w:rsidR="00000000" w:rsidRPr="00000000">
        <w:rPr>
          <w:rtl w:val="0"/>
        </w:rPr>
      </w:r>
    </w:p>
    <w:p w:rsidR="00000000" w:rsidDel="00000000" w:rsidP="00000000" w:rsidRDefault="00000000" w:rsidRPr="00000000" w14:paraId="000000E2">
      <w:p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Ajustar más no lo mejora.</w:t>
      </w:r>
      <w:r w:rsidDel="00000000" w:rsidR="00000000" w:rsidRPr="00000000">
        <w:rPr>
          <w:rFonts w:ascii="Arial" w:cs="Arial" w:eastAsia="Arial" w:hAnsi="Arial"/>
          <w:rtl w:val="0"/>
        </w:rPr>
        <w:t xml:space="preserve"> Los 24 experimentos quedaron entre 0,659 y 0,661. El límite está en la información del cuestionario, no en el modelo, lo que concuerda con el pseudo R² menor de 0,04 que reportan Bawalle et al. (2025).</w:t>
      </w:r>
    </w:p>
    <w:p w:rsidR="00000000" w:rsidDel="00000000" w:rsidP="00000000" w:rsidRDefault="00000000" w:rsidRPr="00000000" w14:paraId="000000E3">
      <w:p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Las transformaciones no cambian nada en los árboles.</w:t>
      </w:r>
      <w:r w:rsidDel="00000000" w:rsidR="00000000" w:rsidRPr="00000000">
        <w:rPr>
          <w:rFonts w:ascii="Arial" w:cs="Arial" w:eastAsia="Arial" w:hAnsi="Arial"/>
          <w:rtl w:val="0"/>
        </w:rPr>
        <w:t xml:space="preserve"> Quitar la edad al cuadrado o usar el logaritmo del ingreso da el mismo resultado, porque los árboles cortan por mayor o menor que y esas transformaciones no cambian el orden de las personas.</w:t>
      </w:r>
    </w:p>
    <w:p w:rsidR="00000000" w:rsidDel="00000000" w:rsidP="00000000" w:rsidRDefault="00000000" w:rsidRPr="00000000" w14:paraId="000000E4">
      <w:pPr>
        <w:spacing w:after="60" w:lineRule="auto"/>
        <w:ind w:left="72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Los ajustes son estables.</w:t>
      </w:r>
      <w:r w:rsidDel="00000000" w:rsidR="00000000" w:rsidRPr="00000000">
        <w:rPr>
          <w:rFonts w:ascii="Arial" w:cs="Arial" w:eastAsia="Arial" w:hAnsi="Arial"/>
          <w:rtl w:val="0"/>
        </w:rPr>
        <w:t xml:space="preserve"> En XGBoost y LightGBM las 5 particiones eligieron los mismos hiperparámetros, y todos los modelos eligieron la profundidad más baja disponible. Los datos piden modelos simples.</w:t>
      </w:r>
    </w:p>
    <w:p w:rsidR="00000000" w:rsidDel="00000000" w:rsidP="00000000" w:rsidRDefault="00000000" w:rsidRPr="00000000" w14:paraId="000000E5">
      <w:pPr>
        <w:pStyle w:val="Heading2"/>
        <w:keepNext w:val="0"/>
        <w:keepLines w:val="0"/>
        <w:spacing w:after="80" w:before="360" w:lineRule="auto"/>
        <w:rPr>
          <w:rFonts w:ascii="Arial" w:cs="Arial" w:eastAsia="Arial" w:hAnsi="Arial"/>
          <w:color w:val="1b1b1b"/>
          <w:sz w:val="34"/>
          <w:szCs w:val="34"/>
        </w:rPr>
      </w:pPr>
      <w:bookmarkStart w:colFirst="0" w:colLast="0" w:name="_uhc2i2f46p3z" w:id="13"/>
      <w:bookmarkEnd w:id="13"/>
      <w:r w:rsidDel="00000000" w:rsidR="00000000" w:rsidRPr="00000000">
        <w:rPr>
          <w:rFonts w:ascii="Arial" w:cs="Arial" w:eastAsia="Arial" w:hAnsi="Arial"/>
          <w:rtl w:val="0"/>
        </w:rPr>
        <w:t xml:space="preserve">4.3 Explicación de nuestro modelo ganador con SHAP</w:t>
      </w:r>
      <w:r w:rsidDel="00000000" w:rsidR="00000000" w:rsidRPr="00000000">
        <w:rPr>
          <w:rtl w:val="0"/>
        </w:rPr>
      </w:r>
    </w:p>
    <w:p w:rsidR="00000000" w:rsidDel="00000000" w:rsidP="00000000" w:rsidRDefault="00000000" w:rsidRPr="00000000" w14:paraId="000000E6">
      <w:pPr>
        <w:jc w:val="both"/>
        <w:rPr>
          <w:rFonts w:ascii="Arial" w:cs="Arial" w:eastAsia="Arial" w:hAnsi="Arial"/>
        </w:rPr>
      </w:pPr>
      <w:r w:rsidDel="00000000" w:rsidR="00000000" w:rsidRPr="00000000">
        <w:rPr>
          <w:rFonts w:ascii="Arial" w:cs="Arial" w:eastAsia="Arial" w:hAnsi="Arial"/>
          <w:rtl w:val="0"/>
        </w:rPr>
        <w:t xml:space="preserve">Con shap.TreeExplainer calculamos cuánto pesa cada respuesta en 5.000 personas del entrenamiento. SHAP explica lo que hace el modelo, no la causa de la venta.</w:t>
      </w:r>
    </w:p>
    <w:p w:rsidR="00000000" w:rsidDel="00000000" w:rsidP="00000000" w:rsidRDefault="00000000" w:rsidRPr="00000000" w14:paraId="000000E7">
      <w:pPr>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495800" cy="3213100"/>
            <wp:effectExtent b="0" l="0" r="0" t="0"/>
            <wp:docPr id="1" name="image1.gif"/>
            <a:graphic>
              <a:graphicData uri="http://schemas.openxmlformats.org/drawingml/2006/picture">
                <pic:pic>
                  <pic:nvPicPr>
                    <pic:cNvPr id="0" name="image1.gif"/>
                    <pic:cNvPicPr preferRelativeResize="0"/>
                  </pic:nvPicPr>
                  <pic:blipFill>
                    <a:blip r:embed="rId8"/>
                    <a:srcRect b="0" l="0" r="0" t="0"/>
                    <a:stretch>
                      <a:fillRect/>
                    </a:stretch>
                  </pic:blipFill>
                  <pic:spPr>
                    <a:xfrm>
                      <a:off x="0" y="0"/>
                      <a:ext cx="44958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jc w:val="center"/>
        <w:rPr>
          <w:rFonts w:ascii="Arial" w:cs="Arial" w:eastAsia="Arial" w:hAnsi="Arial"/>
          <w:i w:val="1"/>
          <w:iCs w:val="1"/>
          <w:color w:val="555f6b"/>
          <w:sz w:val="17"/>
          <w:szCs w:val="17"/>
        </w:rPr>
      </w:pPr>
      <w:r w:rsidDel="00000000" w:rsidR="00000000" w:rsidRPr="00000000">
        <w:rPr>
          <w:rFonts w:ascii="Arial" w:cs="Arial" w:eastAsia="Arial" w:hAnsi="Arial"/>
          <w:i w:val="1"/>
          <w:iCs w:val="1"/>
          <w:color w:val="555f6b"/>
          <w:sz w:val="17"/>
          <w:szCs w:val="17"/>
          <w:rtl w:val="0"/>
        </w:rPr>
        <w:t xml:space="preserve">Figura 1. Peso medio de cada respuesta en la predicción (|SHAP|). Fuente: elaboración propia.</w:t>
      </w:r>
    </w:p>
    <w:p w:rsidR="00000000" w:rsidDel="00000000" w:rsidP="00000000" w:rsidRDefault="00000000" w:rsidRPr="00000000" w14:paraId="000000E9">
      <w:pPr>
        <w:spacing w:after="60" w:before="120" w:lineRule="auto"/>
        <w:rPr>
          <w:rFonts w:ascii="Arial" w:cs="Arial" w:eastAsia="Arial" w:hAnsi="Arial"/>
          <w:color w:val="1f3a5e"/>
          <w:sz w:val="19"/>
          <w:szCs w:val="19"/>
        </w:rPr>
      </w:pPr>
      <w:r w:rsidDel="00000000" w:rsidR="00000000" w:rsidRPr="00000000">
        <w:rPr>
          <w:rFonts w:ascii="Arial" w:cs="Arial" w:eastAsia="Arial" w:hAnsi="Arial"/>
          <w:b w:val="1"/>
          <w:bCs w:val="1"/>
          <w:color w:val="1f3a5e"/>
          <w:sz w:val="19"/>
          <w:szCs w:val="19"/>
          <w:rtl w:val="0"/>
        </w:rPr>
        <w:t xml:space="preserve">Tabla 10. </w:t>
      </w:r>
      <w:r w:rsidDel="00000000" w:rsidR="00000000" w:rsidRPr="00000000">
        <w:rPr>
          <w:rFonts w:ascii="Arial" w:cs="Arial" w:eastAsia="Arial" w:hAnsi="Arial"/>
          <w:color w:val="1f3a5e"/>
          <w:sz w:val="19"/>
          <w:szCs w:val="19"/>
          <w:rtl w:val="0"/>
        </w:rPr>
        <w:t xml:space="preserve">Respuestas que más pesan.</w:t>
      </w:r>
    </w:p>
    <w:tbl>
      <w:tblPr>
        <w:tblStyle w:val="Table7"/>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3210"/>
        <w:gridCol w:w="3240"/>
        <w:tblGridChange w:id="0">
          <w:tblGrid>
            <w:gridCol w:w="3270"/>
            <w:gridCol w:w="3210"/>
            <w:gridCol w:w="3240"/>
          </w:tblGrid>
        </w:tblGridChange>
      </w:tblGrid>
      <w:tr>
        <w:trPr>
          <w:cantSplit w:val="0"/>
          <w:trHeight w:val="285" w:hRule="atLeast"/>
          <w:tblHeader w:val="0"/>
        </w:trPr>
        <w:tc>
          <w:tcPr>
            <w:tcBorders>
              <w:top w:color="b4bcc6" w:space="0" w:sz="5" w:val="single"/>
              <w:left w:color="b4bcc6" w:space="0" w:sz="5" w:val="single"/>
              <w:bottom w:color="b4bcc6" w:space="0" w:sz="5" w:val="single"/>
              <w:right w:color="b4bcc6" w:space="0" w:sz="5" w:val="single"/>
            </w:tcBorders>
            <w:shd w:fill="1f3a5e" w:val="clear"/>
            <w:tcMar>
              <w:top w:w="0.0" w:type="dxa"/>
              <w:left w:w="100.0" w:type="dxa"/>
              <w:bottom w:w="0.0" w:type="dxa"/>
              <w:right w:w="100.0" w:type="dxa"/>
            </w:tcMar>
            <w:vAlign w:val="top"/>
          </w:tcPr>
          <w:p w:rsidR="00000000" w:rsidDel="00000000" w:rsidP="00000000" w:rsidRDefault="00000000" w:rsidRPr="00000000" w14:paraId="000000EA">
            <w:pPr>
              <w:spacing w:after="20" w:before="2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Respuesta</w:t>
            </w:r>
          </w:p>
        </w:tc>
        <w:tc>
          <w:tcPr>
            <w:tcBorders>
              <w:top w:color="b4bcc6" w:space="0" w:sz="5" w:val="single"/>
              <w:left w:color="000000" w:space="0" w:sz="0" w:val="nil"/>
              <w:bottom w:color="b4bcc6" w:space="0" w:sz="5" w:val="single"/>
              <w:right w:color="b4bcc6" w:space="0" w:sz="5" w:val="single"/>
            </w:tcBorders>
            <w:shd w:fill="1f3a5e" w:val="clear"/>
            <w:tcMar>
              <w:top w:w="0.0" w:type="dxa"/>
              <w:left w:w="100.0" w:type="dxa"/>
              <w:bottom w:w="0.0" w:type="dxa"/>
              <w:right w:w="100.0" w:type="dxa"/>
            </w:tcMar>
            <w:vAlign w:val="top"/>
          </w:tcPr>
          <w:p w:rsidR="00000000" w:rsidDel="00000000" w:rsidP="00000000" w:rsidRDefault="00000000" w:rsidRPr="00000000" w14:paraId="000000EB">
            <w:pPr>
              <w:spacing w:after="20" w:before="2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Parte del peso total</w:t>
            </w:r>
          </w:p>
        </w:tc>
        <w:tc>
          <w:tcPr>
            <w:tcBorders>
              <w:top w:color="b4bcc6" w:space="0" w:sz="5" w:val="single"/>
              <w:left w:color="000000" w:space="0" w:sz="0" w:val="nil"/>
              <w:bottom w:color="b4bcc6" w:space="0" w:sz="5" w:val="single"/>
              <w:right w:color="b4bcc6" w:space="0" w:sz="5" w:val="single"/>
            </w:tcBorders>
            <w:shd w:fill="1f3a5e" w:val="clear"/>
            <w:tcMar>
              <w:top w:w="0.0" w:type="dxa"/>
              <w:left w:w="100.0" w:type="dxa"/>
              <w:bottom w:w="0.0" w:type="dxa"/>
              <w:right w:w="100.0" w:type="dxa"/>
            </w:tcMar>
            <w:vAlign w:val="top"/>
          </w:tcPr>
          <w:p w:rsidR="00000000" w:rsidDel="00000000" w:rsidP="00000000" w:rsidRDefault="00000000" w:rsidRPr="00000000" w14:paraId="000000EC">
            <w:pPr>
              <w:spacing w:after="20" w:before="2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Dirección</w:t>
            </w:r>
          </w:p>
        </w:tc>
      </w:tr>
      <w:tr>
        <w:trPr>
          <w:cantSplit w:val="0"/>
          <w:trHeight w:val="285" w:hRule="atLeast"/>
          <w:tblHeader w:val="0"/>
        </w:trPr>
        <w:tc>
          <w:tcPr>
            <w:tcBorders>
              <w:top w:color="000000" w:space="0" w:sz="0" w:val="nil"/>
              <w:left w:color="b4bcc6" w:space="0" w:sz="5" w:val="single"/>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ED">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Sexo (hombre)</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EE">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28 %</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EF">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Los hombres venden más</w:t>
            </w:r>
          </w:p>
        </w:tc>
      </w:tr>
      <w:tr>
        <w:trPr>
          <w:cantSplit w:val="0"/>
          <w:trHeight w:val="285" w:hRule="atLeast"/>
          <w:tblHeader w:val="0"/>
        </w:trPr>
        <w:tc>
          <w:tcPr>
            <w:tcBorders>
              <w:top w:color="000000" w:space="0" w:sz="0" w:val="nil"/>
              <w:left w:color="b4bcc6" w:space="0" w:sz="5" w:val="single"/>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F0">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Acierta diversificación</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F1">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15 %</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F2">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Acertar baja la venta</w:t>
            </w:r>
          </w:p>
        </w:tc>
      </w:tr>
      <w:tr>
        <w:trPr>
          <w:cantSplit w:val="0"/>
          <w:trHeight w:val="285" w:hRule="atLeast"/>
          <w:tblHeader w:val="0"/>
        </w:trPr>
        <w:tc>
          <w:tcPr>
            <w:tcBorders>
              <w:top w:color="000000" w:space="0" w:sz="0" w:val="nil"/>
              <w:left w:color="b4bcc6" w:space="0" w:sz="5" w:val="single"/>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F3">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Confianza en lo que sabe</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F4">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9 %</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F5">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Más confianza sube la venta</w:t>
            </w:r>
          </w:p>
        </w:tc>
      </w:tr>
      <w:tr>
        <w:trPr>
          <w:cantSplit w:val="0"/>
          <w:trHeight w:val="285" w:hRule="atLeast"/>
          <w:tblHeader w:val="0"/>
        </w:trPr>
        <w:tc>
          <w:tcPr>
            <w:tcBorders>
              <w:top w:color="000000" w:space="0" w:sz="0" w:val="nil"/>
              <w:left w:color="b4bcc6" w:space="0" w:sz="5" w:val="single"/>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F6">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Acierta inflación</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F7">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7 %</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F8">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Acertar baja la venta</w:t>
            </w:r>
          </w:p>
        </w:tc>
      </w:tr>
      <w:tr>
        <w:trPr>
          <w:cantSplit w:val="0"/>
          <w:trHeight w:val="285" w:hRule="atLeast"/>
          <w:tblHeader w:val="0"/>
        </w:trPr>
        <w:tc>
          <w:tcPr>
            <w:tcBorders>
              <w:top w:color="000000" w:space="0" w:sz="0" w:val="nil"/>
              <w:left w:color="b4bcc6" w:space="0" w:sz="5" w:val="single"/>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F9">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Edad</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FA">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7 %</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FB">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Sube en las edades altas</w:t>
            </w:r>
          </w:p>
        </w:tc>
      </w:tr>
      <w:tr>
        <w:trPr>
          <w:cantSplit w:val="0"/>
          <w:trHeight w:val="285" w:hRule="atLeast"/>
          <w:tblHeader w:val="0"/>
        </w:trPr>
        <w:tc>
          <w:tcPr>
            <w:tcBorders>
              <w:top w:color="000000" w:space="0" w:sz="0" w:val="nil"/>
              <w:left w:color="b4bcc6" w:space="0" w:sz="5" w:val="single"/>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FC">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Aversión al riesgo y visión de corto plazo</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FD">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13 % entre las dos</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0FE">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La app todavía no las pregunta</w:t>
            </w:r>
          </w:p>
        </w:tc>
      </w:tr>
      <w:tr>
        <w:trPr>
          <w:cantSplit w:val="0"/>
          <w:trHeight w:val="285" w:hRule="atLeast"/>
          <w:tblHeader w:val="0"/>
        </w:trPr>
        <w:tc>
          <w:tcPr>
            <w:tcBorders>
              <w:top w:color="000000" w:space="0" w:sz="0" w:val="nil"/>
              <w:left w:color="b4bcc6" w:space="0" w:sz="5" w:val="single"/>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0FF">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Acierta interés compuesto</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00">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5 %</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01">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Acertar baja la venta</w:t>
            </w:r>
          </w:p>
        </w:tc>
      </w:tr>
    </w:tbl>
    <w:p w:rsidR="00000000" w:rsidDel="00000000" w:rsidP="00000000" w:rsidRDefault="00000000" w:rsidRPr="00000000" w14:paraId="00000102">
      <w:pPr>
        <w:spacing w:after="160" w:lineRule="auto"/>
        <w:rPr>
          <w:rFonts w:ascii="Arial" w:cs="Arial" w:eastAsia="Arial" w:hAnsi="Arial"/>
          <w:i w:val="1"/>
          <w:iCs w:val="1"/>
          <w:color w:val="555f6b"/>
          <w:sz w:val="17"/>
          <w:szCs w:val="17"/>
        </w:rPr>
      </w:pPr>
      <w:r w:rsidDel="00000000" w:rsidR="00000000" w:rsidRPr="00000000">
        <w:rPr>
          <w:rFonts w:ascii="Arial" w:cs="Arial" w:eastAsia="Arial" w:hAnsi="Arial"/>
          <w:i w:val="1"/>
          <w:iCs w:val="1"/>
          <w:color w:val="555f6b"/>
          <w:sz w:val="17"/>
          <w:szCs w:val="17"/>
          <w:rtl w:val="0"/>
        </w:rPr>
        <w:t xml:space="preserve">Fuente: elaboración propia.</w:t>
      </w:r>
    </w:p>
    <w:p w:rsidR="00000000" w:rsidDel="00000000" w:rsidP="00000000" w:rsidRDefault="00000000" w:rsidRPr="00000000" w14:paraId="00000103">
      <w:p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Las tres preguntas de finanzas suman el 27 % y siempre bajan la venta.</w:t>
      </w:r>
      <w:r w:rsidDel="00000000" w:rsidR="00000000" w:rsidRPr="00000000">
        <w:rPr>
          <w:rFonts w:ascii="Arial" w:cs="Arial" w:eastAsia="Arial" w:hAnsi="Arial"/>
          <w:rtl w:val="0"/>
        </w:rPr>
        <w:t xml:space="preserve"> Va en la dirección de la hipótesis H1 y de Bawalle et al. (2025). Es la parte que la app puede enseñar.</w:t>
      </w:r>
    </w:p>
    <w:p w:rsidR="00000000" w:rsidDel="00000000" w:rsidP="00000000" w:rsidRDefault="00000000" w:rsidRPr="00000000" w14:paraId="00000104">
      <w:p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El sexo es lo que más pesa.</w:t>
      </w:r>
      <w:r w:rsidDel="00000000" w:rsidR="00000000" w:rsidRPr="00000000">
        <w:rPr>
          <w:rFonts w:ascii="Arial" w:cs="Arial" w:eastAsia="Arial" w:hAnsi="Arial"/>
          <w:rtl w:val="0"/>
        </w:rPr>
        <w:t xml:space="preserve"> En el entrenamiento vendió el 23,6 % de los hombres y el 12,2 % de las mujeres, así que no es un error del modelo. Es el resultado que más cuidamos al mostrarlo (sección 6.4).</w:t>
      </w:r>
    </w:p>
    <w:p w:rsidR="00000000" w:rsidDel="00000000" w:rsidP="00000000" w:rsidRDefault="00000000" w:rsidRPr="00000000" w14:paraId="00000105">
      <w:pPr>
        <w:spacing w:after="0" w:lineRule="auto"/>
        <w:ind w:left="72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El exceso de confianza casi no pesa (1 %), aunque quienes lo tienen vendieron más</w:t>
      </w:r>
      <w:r w:rsidDel="00000000" w:rsidR="00000000" w:rsidRPr="00000000">
        <w:rPr>
          <w:rFonts w:ascii="Arial" w:cs="Arial" w:eastAsia="Arial" w:hAnsi="Arial"/>
          <w:rtl w:val="0"/>
        </w:rPr>
        <w:t xml:space="preserve"> (28,4 % frente a 19,2 %). Se construye con la confianza y las preguntas de finanzas, y SHAP le da su peso a esas dos. Es la advertencia conocida de SHAP con variables relacionadas.</w:t>
      </w:r>
    </w:p>
    <w:p w:rsidR="00000000" w:rsidDel="00000000" w:rsidP="00000000" w:rsidRDefault="00000000" w:rsidRPr="00000000" w14:paraId="00000106">
      <w:pPr>
        <w:spacing w:after="60" w:lineRule="auto"/>
        <w:ind w:left="72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Ninguna variable domina sola</w:t>
      </w:r>
      <w:r w:rsidDel="00000000" w:rsidR="00000000" w:rsidRPr="00000000">
        <w:rPr>
          <w:rFonts w:ascii="Arial" w:cs="Arial" w:eastAsia="Arial" w:hAnsi="Arial"/>
          <w:rtl w:val="0"/>
        </w:rPr>
        <w:t xml:space="preserve">, así que no se activa la alarma de fuga.</w:t>
      </w:r>
    </w:p>
    <w:p w:rsidR="00000000" w:rsidDel="00000000" w:rsidP="00000000" w:rsidRDefault="00000000" w:rsidRPr="00000000" w14:paraId="00000107">
      <w:pPr>
        <w:pStyle w:val="Heading2"/>
        <w:keepNext w:val="0"/>
        <w:keepLines w:val="0"/>
        <w:spacing w:after="80" w:before="360" w:lineRule="auto"/>
        <w:rPr>
          <w:rFonts w:ascii="Arial" w:cs="Arial" w:eastAsia="Arial" w:hAnsi="Arial"/>
          <w:color w:val="1b1b1b"/>
          <w:sz w:val="34"/>
          <w:szCs w:val="34"/>
        </w:rPr>
      </w:pPr>
      <w:bookmarkStart w:colFirst="0" w:colLast="0" w:name="_si68um6f35k2" w:id="14"/>
      <w:bookmarkEnd w:id="14"/>
      <w:r w:rsidDel="00000000" w:rsidR="00000000" w:rsidRPr="00000000">
        <w:rPr>
          <w:rFonts w:ascii="Arial" w:cs="Arial" w:eastAsia="Arial" w:hAnsi="Arial"/>
          <w:rtl w:val="0"/>
        </w:rPr>
        <w:t xml:space="preserve">4.4 Desempeño por grupos</w:t>
      </w:r>
      <w:r w:rsidDel="00000000" w:rsidR="00000000" w:rsidRPr="00000000">
        <w:rPr>
          <w:rtl w:val="0"/>
        </w:rPr>
      </w:r>
    </w:p>
    <w:p w:rsidR="00000000" w:rsidDel="00000000" w:rsidP="00000000" w:rsidRDefault="00000000" w:rsidRPr="00000000" w14:paraId="00000108">
      <w:pPr>
        <w:jc w:val="both"/>
        <w:rPr>
          <w:rFonts w:ascii="Arial" w:cs="Arial" w:eastAsia="Arial" w:hAnsi="Arial"/>
        </w:rPr>
      </w:pPr>
      <w:r w:rsidDel="00000000" w:rsidR="00000000" w:rsidRPr="00000000">
        <w:rPr>
          <w:rFonts w:ascii="Arial" w:cs="Arial" w:eastAsia="Arial" w:hAnsi="Arial"/>
          <w:rtl w:val="0"/>
        </w:rPr>
        <w:t xml:space="preserve">Revisamos si el modelo funciona peor para algún grupo, con las predicciones de validación cruzada del entrenamiento. Cortamos la edad entre 40 y 60 años y el ingreso en los tramos 4 y 7 para tener grupos grandes; es decisión nuestra.</w:t>
      </w:r>
    </w:p>
    <w:p w:rsidR="00000000" w:rsidDel="00000000" w:rsidP="00000000" w:rsidRDefault="00000000" w:rsidRPr="00000000" w14:paraId="00000109">
      <w:pPr>
        <w:spacing w:after="60" w:before="120" w:lineRule="auto"/>
        <w:rPr>
          <w:rFonts w:ascii="Arial" w:cs="Arial" w:eastAsia="Arial" w:hAnsi="Arial"/>
          <w:color w:val="1f3a5e"/>
          <w:sz w:val="19"/>
          <w:szCs w:val="19"/>
        </w:rPr>
      </w:pPr>
      <w:r w:rsidDel="00000000" w:rsidR="00000000" w:rsidRPr="00000000">
        <w:rPr>
          <w:rFonts w:ascii="Arial" w:cs="Arial" w:eastAsia="Arial" w:hAnsi="Arial"/>
          <w:b w:val="1"/>
          <w:bCs w:val="1"/>
          <w:color w:val="1f3a5e"/>
          <w:sz w:val="19"/>
          <w:szCs w:val="19"/>
          <w:rtl w:val="0"/>
        </w:rPr>
        <w:t xml:space="preserve">Tabla 11. </w:t>
      </w:r>
      <w:r w:rsidDel="00000000" w:rsidR="00000000" w:rsidRPr="00000000">
        <w:rPr>
          <w:rFonts w:ascii="Arial" w:cs="Arial" w:eastAsia="Arial" w:hAnsi="Arial"/>
          <w:color w:val="1f3a5e"/>
          <w:sz w:val="19"/>
          <w:szCs w:val="19"/>
          <w:rtl w:val="0"/>
        </w:rPr>
        <w:t xml:space="preserve">AUROC y calibración por grupo.</w:t>
      </w:r>
    </w:p>
    <w:tbl>
      <w:tblPr>
        <w:tblStyle w:val="Table8"/>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620"/>
        <w:gridCol w:w="1590"/>
        <w:gridCol w:w="1650"/>
        <w:gridCol w:w="1590"/>
        <w:gridCol w:w="1650"/>
        <w:tblGridChange w:id="0">
          <w:tblGrid>
            <w:gridCol w:w="1620"/>
            <w:gridCol w:w="1620"/>
            <w:gridCol w:w="1590"/>
            <w:gridCol w:w="1650"/>
            <w:gridCol w:w="1590"/>
            <w:gridCol w:w="1650"/>
          </w:tblGrid>
        </w:tblGridChange>
      </w:tblGrid>
      <w:tr>
        <w:trPr>
          <w:cantSplit w:val="0"/>
          <w:trHeight w:val="285" w:hRule="atLeast"/>
          <w:tblHeader w:val="0"/>
        </w:trPr>
        <w:tc>
          <w:tcPr>
            <w:tcBorders>
              <w:top w:color="b4bcc6" w:space="0" w:sz="5" w:val="single"/>
              <w:left w:color="b4bcc6" w:space="0" w:sz="5" w:val="single"/>
              <w:bottom w:color="b4bcc6" w:space="0" w:sz="5" w:val="single"/>
              <w:right w:color="b4bcc6" w:space="0" w:sz="5" w:val="single"/>
            </w:tcBorders>
            <w:shd w:fill="1f3a5e" w:val="clear"/>
            <w:tcMar>
              <w:top w:w="0.0" w:type="dxa"/>
              <w:left w:w="100.0" w:type="dxa"/>
              <w:bottom w:w="0.0" w:type="dxa"/>
              <w:right w:w="100.0" w:type="dxa"/>
            </w:tcMar>
            <w:vAlign w:val="top"/>
          </w:tcPr>
          <w:p w:rsidR="00000000" w:rsidDel="00000000" w:rsidP="00000000" w:rsidRDefault="00000000" w:rsidRPr="00000000" w14:paraId="0000010A">
            <w:pPr>
              <w:spacing w:after="20" w:before="2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Grupo</w:t>
            </w:r>
          </w:p>
        </w:tc>
        <w:tc>
          <w:tcPr>
            <w:tcBorders>
              <w:top w:color="b4bcc6" w:space="0" w:sz="5" w:val="single"/>
              <w:left w:color="000000" w:space="0" w:sz="0" w:val="nil"/>
              <w:bottom w:color="b4bcc6" w:space="0" w:sz="5" w:val="single"/>
              <w:right w:color="b4bcc6" w:space="0" w:sz="5" w:val="single"/>
            </w:tcBorders>
            <w:shd w:fill="1f3a5e" w:val="clear"/>
            <w:tcMar>
              <w:top w:w="0.0" w:type="dxa"/>
              <w:left w:w="100.0" w:type="dxa"/>
              <w:bottom w:w="0.0" w:type="dxa"/>
              <w:right w:w="100.0" w:type="dxa"/>
            </w:tcMar>
            <w:vAlign w:val="top"/>
          </w:tcPr>
          <w:p w:rsidR="00000000" w:rsidDel="00000000" w:rsidP="00000000" w:rsidRDefault="00000000" w:rsidRPr="00000000" w14:paraId="0000010B">
            <w:pPr>
              <w:spacing w:after="20" w:before="2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Personas</w:t>
            </w:r>
          </w:p>
        </w:tc>
        <w:tc>
          <w:tcPr>
            <w:tcBorders>
              <w:top w:color="b4bcc6" w:space="0" w:sz="5" w:val="single"/>
              <w:left w:color="000000" w:space="0" w:sz="0" w:val="nil"/>
              <w:bottom w:color="b4bcc6" w:space="0" w:sz="5" w:val="single"/>
              <w:right w:color="b4bcc6" w:space="0" w:sz="5" w:val="single"/>
            </w:tcBorders>
            <w:shd w:fill="1f3a5e" w:val="clear"/>
            <w:tcMar>
              <w:top w:w="0.0" w:type="dxa"/>
              <w:left w:w="100.0" w:type="dxa"/>
              <w:bottom w:w="0.0" w:type="dxa"/>
              <w:right w:w="100.0" w:type="dxa"/>
            </w:tcMar>
            <w:vAlign w:val="top"/>
          </w:tcPr>
          <w:p w:rsidR="00000000" w:rsidDel="00000000" w:rsidP="00000000" w:rsidRDefault="00000000" w:rsidRPr="00000000" w14:paraId="0000010C">
            <w:pPr>
              <w:spacing w:after="20" w:before="2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Vendió</w:t>
            </w:r>
          </w:p>
        </w:tc>
        <w:tc>
          <w:tcPr>
            <w:tcBorders>
              <w:top w:color="b4bcc6" w:space="0" w:sz="5" w:val="single"/>
              <w:left w:color="000000" w:space="0" w:sz="0" w:val="nil"/>
              <w:bottom w:color="b4bcc6" w:space="0" w:sz="5" w:val="single"/>
              <w:right w:color="b4bcc6" w:space="0" w:sz="5" w:val="single"/>
            </w:tcBorders>
            <w:shd w:fill="1f3a5e" w:val="clear"/>
            <w:tcMar>
              <w:top w:w="0.0" w:type="dxa"/>
              <w:left w:w="100.0" w:type="dxa"/>
              <w:bottom w:w="0.0" w:type="dxa"/>
              <w:right w:w="100.0" w:type="dxa"/>
            </w:tcMar>
            <w:vAlign w:val="top"/>
          </w:tcPr>
          <w:p w:rsidR="00000000" w:rsidDel="00000000" w:rsidP="00000000" w:rsidRDefault="00000000" w:rsidRPr="00000000" w14:paraId="0000010D">
            <w:pPr>
              <w:spacing w:after="20" w:before="2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Predicción media</w:t>
            </w:r>
          </w:p>
        </w:tc>
        <w:tc>
          <w:tcPr>
            <w:tcBorders>
              <w:top w:color="b4bcc6" w:space="0" w:sz="5" w:val="single"/>
              <w:left w:color="000000" w:space="0" w:sz="0" w:val="nil"/>
              <w:bottom w:color="b4bcc6" w:space="0" w:sz="5" w:val="single"/>
              <w:right w:color="b4bcc6" w:space="0" w:sz="5" w:val="single"/>
            </w:tcBorders>
            <w:shd w:fill="1f3a5e" w:val="clear"/>
            <w:tcMar>
              <w:top w:w="0.0" w:type="dxa"/>
              <w:left w:w="100.0" w:type="dxa"/>
              <w:bottom w:w="0.0" w:type="dxa"/>
              <w:right w:w="100.0" w:type="dxa"/>
            </w:tcMar>
            <w:vAlign w:val="top"/>
          </w:tcPr>
          <w:p w:rsidR="00000000" w:rsidDel="00000000" w:rsidP="00000000" w:rsidRDefault="00000000" w:rsidRPr="00000000" w14:paraId="0000010E">
            <w:pPr>
              <w:spacing w:after="20" w:before="2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AUROC</w:t>
            </w:r>
          </w:p>
        </w:tc>
        <w:tc>
          <w:tcPr>
            <w:tcBorders>
              <w:top w:color="b4bcc6" w:space="0" w:sz="5" w:val="single"/>
              <w:left w:color="000000" w:space="0" w:sz="0" w:val="nil"/>
              <w:bottom w:color="b4bcc6" w:space="0" w:sz="5" w:val="single"/>
              <w:right w:color="b4bcc6" w:space="0" w:sz="5" w:val="single"/>
            </w:tcBorders>
            <w:shd w:fill="1f3a5e" w:val="clear"/>
            <w:tcMar>
              <w:top w:w="0.0" w:type="dxa"/>
              <w:left w:w="100.0" w:type="dxa"/>
              <w:bottom w:w="0.0" w:type="dxa"/>
              <w:right w:w="100.0" w:type="dxa"/>
            </w:tcMar>
            <w:vAlign w:val="top"/>
          </w:tcPr>
          <w:p w:rsidR="00000000" w:rsidDel="00000000" w:rsidP="00000000" w:rsidRDefault="00000000" w:rsidRPr="00000000" w14:paraId="0000010F">
            <w:pPr>
              <w:spacing w:after="20" w:before="2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Pendiente</w:t>
            </w:r>
          </w:p>
        </w:tc>
      </w:tr>
      <w:tr>
        <w:trPr>
          <w:cantSplit w:val="0"/>
          <w:trHeight w:val="285" w:hRule="atLeast"/>
          <w:tblHeader w:val="0"/>
        </w:trPr>
        <w:tc>
          <w:tcPr>
            <w:tcBorders>
              <w:top w:color="000000" w:space="0" w:sz="0" w:val="nil"/>
              <w:left w:color="b4bcc6" w:space="0" w:sz="5" w:val="single"/>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10">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Hombres</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11">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29.348</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12">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23,6 %</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13">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23,5 %</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14">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0,623</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15">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1,06</w:t>
            </w:r>
          </w:p>
        </w:tc>
      </w:tr>
      <w:tr>
        <w:trPr>
          <w:cantSplit w:val="0"/>
          <w:trHeight w:val="285" w:hRule="atLeast"/>
          <w:tblHeader w:val="0"/>
        </w:trPr>
        <w:tc>
          <w:tcPr>
            <w:tcBorders>
              <w:top w:color="000000" w:space="0" w:sz="0" w:val="nil"/>
              <w:left w:color="b4bcc6" w:space="0" w:sz="5" w:val="single"/>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116">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Mujeres</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117">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14.415</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118">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12,2 %</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119">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12,5 %</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11A">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0,643</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11B">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1,06</w:t>
            </w:r>
          </w:p>
        </w:tc>
      </w:tr>
      <w:tr>
        <w:trPr>
          <w:cantSplit w:val="0"/>
          <w:trHeight w:val="285" w:hRule="atLeast"/>
          <w:tblHeader w:val="0"/>
        </w:trPr>
        <w:tc>
          <w:tcPr>
            <w:tcBorders>
              <w:top w:color="000000" w:space="0" w:sz="0" w:val="nil"/>
              <w:left w:color="b4bcc6" w:space="0" w:sz="5" w:val="single"/>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1C">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18 a 39 años</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1D">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13.449</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1E">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18,3 %</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1F">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18,2 %</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20">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0,693</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21">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1,13</w:t>
            </w:r>
          </w:p>
        </w:tc>
      </w:tr>
      <w:tr>
        <w:trPr>
          <w:cantSplit w:val="0"/>
          <w:trHeight w:val="285" w:hRule="atLeast"/>
          <w:tblHeader w:val="0"/>
        </w:trPr>
        <w:tc>
          <w:tcPr>
            <w:tcBorders>
              <w:top w:color="000000" w:space="0" w:sz="0" w:val="nil"/>
              <w:left w:color="b4bcc6" w:space="0" w:sz="5" w:val="single"/>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122">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40 a 59 años</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123">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22.635</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124">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18,9 %</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125">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19,0 %</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126">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0,646</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127">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1,04</w:t>
            </w:r>
          </w:p>
        </w:tc>
      </w:tr>
      <w:tr>
        <w:trPr>
          <w:cantSplit w:val="0"/>
          <w:trHeight w:val="285" w:hRule="atLeast"/>
          <w:tblHeader w:val="0"/>
        </w:trPr>
        <w:tc>
          <w:tcPr>
            <w:tcBorders>
              <w:top w:color="000000" w:space="0" w:sz="0" w:val="nil"/>
              <w:left w:color="b4bcc6" w:space="0" w:sz="5" w:val="single"/>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28">
            <w:pPr>
              <w:spacing w:after="20" w:before="2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60 años o más</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29">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7.679</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2A">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25,6 %</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2B">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25,3 %</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2C">
            <w:pPr>
              <w:spacing w:after="20" w:before="2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0,588</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2D">
            <w:pPr>
              <w:spacing w:after="20" w:before="2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0,85</w:t>
            </w:r>
          </w:p>
        </w:tc>
      </w:tr>
      <w:tr>
        <w:trPr>
          <w:cantSplit w:val="0"/>
          <w:trHeight w:val="510" w:hRule="atLeast"/>
          <w:tblHeader w:val="0"/>
        </w:trPr>
        <w:tc>
          <w:tcPr>
            <w:tcBorders>
              <w:top w:color="000000" w:space="0" w:sz="0" w:val="nil"/>
              <w:left w:color="b4bcc6" w:space="0" w:sz="5" w:val="single"/>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12E">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Ingreso, tramos 1 a 4</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12F">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18.045</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130">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22,2 %</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131">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22,0 %</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132">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0,660</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133">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1,02</w:t>
            </w:r>
          </w:p>
        </w:tc>
      </w:tr>
      <w:tr>
        <w:trPr>
          <w:cantSplit w:val="0"/>
          <w:trHeight w:val="510" w:hRule="atLeast"/>
          <w:tblHeader w:val="0"/>
        </w:trPr>
        <w:tc>
          <w:tcPr>
            <w:tcBorders>
              <w:top w:color="000000" w:space="0" w:sz="0" w:val="nil"/>
              <w:left w:color="b4bcc6" w:space="0" w:sz="5" w:val="single"/>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34">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Ingreso, tramos 5 a 7</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35">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20.103</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36">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17,9 %</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37">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18,2 %</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38">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0,653</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39">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1,07</w:t>
            </w:r>
          </w:p>
        </w:tc>
      </w:tr>
      <w:tr>
        <w:trPr>
          <w:cantSplit w:val="0"/>
          <w:trHeight w:val="510" w:hRule="atLeast"/>
          <w:tblHeader w:val="0"/>
        </w:trPr>
        <w:tc>
          <w:tcPr>
            <w:tcBorders>
              <w:top w:color="000000" w:space="0" w:sz="0" w:val="nil"/>
              <w:left w:color="b4bcc6" w:space="0" w:sz="5" w:val="single"/>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13A">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Ingreso, tramos 8 o más</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13B">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5.615</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13C">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19,5 %</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13D">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19,0 %</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13E">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0,652</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13F">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1,14</w:t>
            </w:r>
          </w:p>
        </w:tc>
      </w:tr>
    </w:tbl>
    <w:p w:rsidR="00000000" w:rsidDel="00000000" w:rsidP="00000000" w:rsidRDefault="00000000" w:rsidRPr="00000000" w14:paraId="00000140">
      <w:pPr>
        <w:spacing w:after="160" w:lineRule="auto"/>
        <w:rPr>
          <w:rFonts w:ascii="Arial" w:cs="Arial" w:eastAsia="Arial" w:hAnsi="Arial"/>
          <w:i w:val="1"/>
          <w:iCs w:val="1"/>
          <w:color w:val="555f6b"/>
          <w:sz w:val="17"/>
          <w:szCs w:val="17"/>
        </w:rPr>
      </w:pPr>
      <w:r w:rsidDel="00000000" w:rsidR="00000000" w:rsidRPr="00000000">
        <w:rPr>
          <w:rFonts w:ascii="Arial" w:cs="Arial" w:eastAsia="Arial" w:hAnsi="Arial"/>
          <w:i w:val="1"/>
          <w:iCs w:val="1"/>
          <w:color w:val="555f6b"/>
          <w:sz w:val="17"/>
          <w:szCs w:val="17"/>
          <w:rtl w:val="0"/>
        </w:rPr>
        <w:t xml:space="preserve">Fuente: elaboración propia.</w:t>
      </w:r>
    </w:p>
    <w:p w:rsidR="00000000" w:rsidDel="00000000" w:rsidP="00000000" w:rsidRDefault="00000000" w:rsidRPr="00000000" w14:paraId="00000141">
      <w:pPr>
        <w:spacing w:after="0" w:lineRule="auto"/>
        <w:ind w:left="72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En promedio, el modelo acierta en todos los grupos:</w:t>
      </w:r>
      <w:r w:rsidDel="00000000" w:rsidR="00000000" w:rsidRPr="00000000">
        <w:rPr>
          <w:rFonts w:ascii="Arial" w:cs="Arial" w:eastAsia="Arial" w:hAnsi="Arial"/>
          <w:rtl w:val="0"/>
        </w:rPr>
        <w:t xml:space="preserve"> la predicción media queda a menos de medio punto de lo que pasó.</w:t>
      </w:r>
    </w:p>
    <w:p w:rsidR="00000000" w:rsidDel="00000000" w:rsidP="00000000" w:rsidRDefault="00000000" w:rsidRPr="00000000" w14:paraId="00000142">
      <w:pPr>
        <w:spacing w:after="0" w:lineRule="auto"/>
        <w:ind w:left="72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Con los mayores de 60 distingue peor,</w:t>
      </w:r>
      <w:r w:rsidDel="00000000" w:rsidR="00000000" w:rsidRPr="00000000">
        <w:rPr>
          <w:rFonts w:ascii="Arial" w:cs="Arial" w:eastAsia="Arial" w:hAnsi="Arial"/>
          <w:rtl w:val="0"/>
        </w:rPr>
        <w:t xml:space="preserve"> (0,588 frente a 0,693 en los de 18 a 39), y su pendiente de 0,85 dice que ahí las probabilidades salen algo exageradas. Es el grupo que más vendió. En la app, el resultado para esta edad debe leerse con más cautela.</w:t>
      </w:r>
    </w:p>
    <w:p w:rsidR="00000000" w:rsidDel="00000000" w:rsidP="00000000" w:rsidRDefault="00000000" w:rsidRPr="00000000" w14:paraId="00000143">
      <w:pPr>
        <w:spacing w:after="60" w:lineRule="auto"/>
        <w:ind w:left="72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Dentro de cada sexo el AUROC baja,</w:t>
      </w:r>
      <w:r w:rsidDel="00000000" w:rsidR="00000000" w:rsidRPr="00000000">
        <w:rPr>
          <w:rFonts w:ascii="Arial" w:cs="Arial" w:eastAsia="Arial" w:hAnsi="Arial"/>
          <w:rtl w:val="0"/>
        </w:rPr>
        <w:t xml:space="preserve"> (0,62 y 0,64 frente a 0,66 en total) porque parte de lo que distingue el modelo es el sexo mismo. No hay un sexo para el que funcione claramente peor.</w:t>
      </w:r>
    </w:p>
    <w:p w:rsidR="00000000" w:rsidDel="00000000" w:rsidP="00000000" w:rsidRDefault="00000000" w:rsidRPr="00000000" w14:paraId="00000144">
      <w:pPr>
        <w:pStyle w:val="Heading1"/>
        <w:keepNext w:val="0"/>
        <w:keepLines w:val="0"/>
        <w:spacing w:before="480" w:lineRule="auto"/>
        <w:rPr>
          <w:rFonts w:ascii="Arial" w:cs="Arial" w:eastAsia="Arial" w:hAnsi="Arial"/>
          <w:color w:val="1b1b1b"/>
          <w:sz w:val="46"/>
          <w:szCs w:val="46"/>
        </w:rPr>
      </w:pPr>
      <w:bookmarkStart w:colFirst="0" w:colLast="0" w:name="_dembhw5dvygs" w:id="15"/>
      <w:bookmarkEnd w:id="15"/>
      <w:r w:rsidDel="00000000" w:rsidR="00000000" w:rsidRPr="00000000">
        <w:rPr>
          <w:rFonts w:ascii="Arial" w:cs="Arial" w:eastAsia="Arial" w:hAnsi="Arial"/>
          <w:sz w:val="26"/>
          <w:szCs w:val="26"/>
          <w:rtl w:val="0"/>
        </w:rPr>
        <w:t xml:space="preserve">Prototipo: nuestro modelo conectado a una persona</w:t>
      </w:r>
      <w:r w:rsidDel="00000000" w:rsidR="00000000" w:rsidRPr="00000000">
        <w:rPr>
          <w:rtl w:val="0"/>
        </w:rPr>
      </w:r>
    </w:p>
    <w:p w:rsidR="00000000" w:rsidDel="00000000" w:rsidP="00000000" w:rsidRDefault="00000000" w:rsidRPr="00000000" w14:paraId="00000145">
      <w:pPr>
        <w:jc w:val="both"/>
        <w:rPr>
          <w:rFonts w:ascii="Arial" w:cs="Arial" w:eastAsia="Arial" w:hAnsi="Arial"/>
        </w:rPr>
      </w:pPr>
      <w:r w:rsidDel="00000000" w:rsidR="00000000" w:rsidRPr="00000000">
        <w:rPr>
          <w:rFonts w:ascii="Arial" w:cs="Arial" w:eastAsia="Arial" w:hAnsi="Arial"/>
          <w:rtl w:val="0"/>
        </w:rPr>
        <w:t xml:space="preserve">Para el prototipo entrenamos nuestro modelo ganador únicamente con el 80 % destinado al entrenamiento y con los ajustes elegidos durante la validación. No usamos el conjunto de prueba final para entrenarlo ni para tomar decisiones. El modelo queda guardado en models/crash_reaction_v1 junto con los cortes de las categorías.</w:t>
      </w:r>
    </w:p>
    <w:p w:rsidR="00000000" w:rsidDel="00000000" w:rsidP="00000000" w:rsidRDefault="00000000" w:rsidRPr="00000000" w14:paraId="00000146">
      <w:pPr>
        <w:spacing w:after="60" w:before="120" w:lineRule="auto"/>
        <w:rPr>
          <w:rFonts w:ascii="Arial" w:cs="Arial" w:eastAsia="Arial" w:hAnsi="Arial"/>
          <w:color w:val="1f3a5e"/>
          <w:sz w:val="19"/>
          <w:szCs w:val="19"/>
        </w:rPr>
      </w:pPr>
      <w:r w:rsidDel="00000000" w:rsidR="00000000" w:rsidRPr="00000000">
        <w:rPr>
          <w:rFonts w:ascii="Arial" w:cs="Arial" w:eastAsia="Arial" w:hAnsi="Arial"/>
          <w:b w:val="1"/>
          <w:bCs w:val="1"/>
          <w:color w:val="1f3a5e"/>
          <w:sz w:val="19"/>
          <w:szCs w:val="19"/>
          <w:rtl w:val="0"/>
        </w:rPr>
        <w:t xml:space="preserve">Tabla 12. </w:t>
      </w:r>
      <w:r w:rsidDel="00000000" w:rsidR="00000000" w:rsidRPr="00000000">
        <w:rPr>
          <w:rFonts w:ascii="Arial" w:cs="Arial" w:eastAsia="Arial" w:hAnsi="Arial"/>
          <w:color w:val="1f3a5e"/>
          <w:sz w:val="19"/>
          <w:szCs w:val="19"/>
          <w:rtl w:val="0"/>
        </w:rPr>
        <w:t xml:space="preserve">Piezas del prototipo.</w:t>
      </w:r>
    </w:p>
    <w:tbl>
      <w:tblPr>
        <w:tblStyle w:val="Table9"/>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3255"/>
        <w:gridCol w:w="3240"/>
        <w:tblGridChange w:id="0">
          <w:tblGrid>
            <w:gridCol w:w="3240"/>
            <w:gridCol w:w="3255"/>
            <w:gridCol w:w="3240"/>
          </w:tblGrid>
        </w:tblGridChange>
      </w:tblGrid>
      <w:tr>
        <w:trPr>
          <w:cantSplit w:val="0"/>
          <w:trHeight w:val="285" w:hRule="atLeast"/>
          <w:tblHeader w:val="0"/>
        </w:trPr>
        <w:tc>
          <w:tcPr>
            <w:tcBorders>
              <w:top w:color="b4bcc6" w:space="0" w:sz="5" w:val="single"/>
              <w:left w:color="b4bcc6" w:space="0" w:sz="5" w:val="single"/>
              <w:bottom w:color="b4bcc6" w:space="0" w:sz="5" w:val="single"/>
              <w:right w:color="b4bcc6" w:space="0" w:sz="5" w:val="single"/>
            </w:tcBorders>
            <w:shd w:fill="1f3a5e" w:val="clear"/>
            <w:tcMar>
              <w:top w:w="0.0" w:type="dxa"/>
              <w:left w:w="100.0" w:type="dxa"/>
              <w:bottom w:w="0.0" w:type="dxa"/>
              <w:right w:w="100.0" w:type="dxa"/>
            </w:tcMar>
            <w:vAlign w:val="top"/>
          </w:tcPr>
          <w:p w:rsidR="00000000" w:rsidDel="00000000" w:rsidP="00000000" w:rsidRDefault="00000000" w:rsidRPr="00000000" w14:paraId="00000147">
            <w:pPr>
              <w:spacing w:after="20" w:before="2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Pieza</w:t>
            </w:r>
          </w:p>
        </w:tc>
        <w:tc>
          <w:tcPr>
            <w:tcBorders>
              <w:top w:color="b4bcc6" w:space="0" w:sz="5" w:val="single"/>
              <w:left w:color="000000" w:space="0" w:sz="0" w:val="nil"/>
              <w:bottom w:color="b4bcc6" w:space="0" w:sz="5" w:val="single"/>
              <w:right w:color="b4bcc6" w:space="0" w:sz="5" w:val="single"/>
            </w:tcBorders>
            <w:shd w:fill="1f3a5e" w:val="clear"/>
            <w:tcMar>
              <w:top w:w="0.0" w:type="dxa"/>
              <w:left w:w="100.0" w:type="dxa"/>
              <w:bottom w:w="0.0" w:type="dxa"/>
              <w:right w:w="100.0" w:type="dxa"/>
            </w:tcMar>
            <w:vAlign w:val="top"/>
          </w:tcPr>
          <w:p w:rsidR="00000000" w:rsidDel="00000000" w:rsidP="00000000" w:rsidRDefault="00000000" w:rsidRPr="00000000" w14:paraId="00000148">
            <w:pPr>
              <w:spacing w:after="20" w:before="2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Qué hace</w:t>
            </w:r>
          </w:p>
        </w:tc>
        <w:tc>
          <w:tcPr>
            <w:tcBorders>
              <w:top w:color="b4bcc6" w:space="0" w:sz="5" w:val="single"/>
              <w:left w:color="000000" w:space="0" w:sz="0" w:val="nil"/>
              <w:bottom w:color="b4bcc6" w:space="0" w:sz="5" w:val="single"/>
              <w:right w:color="b4bcc6" w:space="0" w:sz="5" w:val="single"/>
            </w:tcBorders>
            <w:shd w:fill="1f3a5e" w:val="clear"/>
            <w:tcMar>
              <w:top w:w="0.0" w:type="dxa"/>
              <w:left w:w="100.0" w:type="dxa"/>
              <w:bottom w:w="0.0" w:type="dxa"/>
              <w:right w:w="100.0" w:type="dxa"/>
            </w:tcMar>
            <w:vAlign w:val="top"/>
          </w:tcPr>
          <w:p w:rsidR="00000000" w:rsidDel="00000000" w:rsidP="00000000" w:rsidRDefault="00000000" w:rsidRPr="00000000" w14:paraId="00000149">
            <w:pPr>
              <w:spacing w:after="20" w:before="2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Estado</w:t>
            </w:r>
          </w:p>
        </w:tc>
      </w:tr>
      <w:tr>
        <w:trPr>
          <w:cantSplit w:val="0"/>
          <w:trHeight w:val="1215" w:hRule="atLeast"/>
          <w:tblHeader w:val="0"/>
        </w:trPr>
        <w:tc>
          <w:tcPr>
            <w:tcBorders>
              <w:top w:color="000000" w:space="0" w:sz="0" w:val="nil"/>
              <w:left w:color="b4bcc6" w:space="0" w:sz="5" w:val="single"/>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4A">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Predicción para una persona (predict.py)</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4B">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 las 14 respuestas del cuestionario a las 17 variables, la categoría, las respuestas que más pesaron y avisos si la persona queda fuera del rango de entrenamiento</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4C">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Lista, con 8 pruebas automáticas</w:t>
            </w:r>
          </w:p>
        </w:tc>
      </w:tr>
      <w:tr>
        <w:trPr>
          <w:cantSplit w:val="0"/>
          <w:trHeight w:val="975" w:hRule="atLeast"/>
          <w:tblHeader w:val="0"/>
        </w:trPr>
        <w:tc>
          <w:tcPr>
            <w:tcBorders>
              <w:top w:color="000000" w:space="0" w:sz="0" w:val="nil"/>
              <w:left w:color="b4bcc6" w:space="0" w:sz="5" w:val="single"/>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14D">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App en Streamlit (app/app.py)</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14E">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Cuestionario; resultado con su explicación y qué aprender según la pregunta que falló; cómo funciona el modelo (SHAP global, métricas y límites)</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14F">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En desarrollo; corre en el computador</w:t>
            </w:r>
          </w:p>
        </w:tc>
      </w:tr>
      <w:tr>
        <w:trPr>
          <w:cantSplit w:val="0"/>
          <w:trHeight w:val="510" w:hRule="atLeast"/>
          <w:tblHeader w:val="0"/>
        </w:trPr>
        <w:tc>
          <w:tcPr>
            <w:tcBorders>
              <w:top w:color="000000" w:space="0" w:sz="0" w:val="nil"/>
              <w:left w:color="b4bcc6" w:space="0" w:sz="5" w:val="single"/>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50">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Textos de las explicaciones</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51">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Qué significa cada factor y qué aprender, en español sencillo</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52">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Pasa al ciclo 3B</w:t>
            </w:r>
          </w:p>
        </w:tc>
      </w:tr>
      <w:tr>
        <w:trPr>
          <w:cantSplit w:val="0"/>
          <w:trHeight w:val="750" w:hRule="atLeast"/>
          <w:tblHeader w:val="0"/>
        </w:trPr>
        <w:tc>
          <w:tcPr>
            <w:tcBorders>
              <w:top w:color="000000" w:space="0" w:sz="0" w:val="nil"/>
              <w:left w:color="b4bcc6" w:space="0" w:sz="5" w:val="single"/>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153">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Prueba con usuarios</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154">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Perfiles ambiguos y si entienden la explicación, con consentimiento según la Ley 1581 de 2012</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155">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Pasa al ciclo 3B</w:t>
            </w:r>
          </w:p>
        </w:tc>
      </w:tr>
    </w:tbl>
    <w:p w:rsidR="00000000" w:rsidDel="00000000" w:rsidP="00000000" w:rsidRDefault="00000000" w:rsidRPr="00000000" w14:paraId="00000156">
      <w:pPr>
        <w:spacing w:after="160" w:lineRule="auto"/>
        <w:rPr>
          <w:rFonts w:ascii="Arial" w:cs="Arial" w:eastAsia="Arial" w:hAnsi="Arial"/>
          <w:i w:val="1"/>
          <w:iCs w:val="1"/>
          <w:color w:val="555f6b"/>
          <w:sz w:val="17"/>
          <w:szCs w:val="17"/>
        </w:rPr>
      </w:pPr>
      <w:r w:rsidDel="00000000" w:rsidR="00000000" w:rsidRPr="00000000">
        <w:rPr>
          <w:rFonts w:ascii="Arial" w:cs="Arial" w:eastAsia="Arial" w:hAnsi="Arial"/>
          <w:i w:val="1"/>
          <w:iCs w:val="1"/>
          <w:color w:val="555f6b"/>
          <w:sz w:val="17"/>
          <w:szCs w:val="17"/>
          <w:rtl w:val="0"/>
        </w:rPr>
        <w:t xml:space="preserve">Fuente: elaboración propia.</w:t>
      </w:r>
    </w:p>
    <w:p w:rsidR="00000000" w:rsidDel="00000000" w:rsidP="00000000" w:rsidRDefault="00000000" w:rsidRPr="00000000" w14:paraId="00000157">
      <w:pPr>
        <w:jc w:val="both"/>
        <w:rPr>
          <w:rFonts w:ascii="Arial" w:cs="Arial" w:eastAsia="Arial" w:hAnsi="Arial"/>
        </w:rPr>
      </w:pPr>
      <w:r w:rsidDel="00000000" w:rsidR="00000000" w:rsidRPr="00000000">
        <w:rPr>
          <w:rFonts w:ascii="Arial" w:cs="Arial" w:eastAsia="Arial" w:hAnsi="Arial"/>
          <w:rtl w:val="0"/>
        </w:rPr>
        <w:t xml:space="preserve">Dos decisiones del prototipo: la app todavía no pregunta la aversión al riesgo ni la visión de corto plazo, porque no conocemos la redacción japonesa; usa el valor más común (0,5 y 2), lo dice en pantalla y no las muestra como factor. El ingreso y los ahorros se preguntan en cinco niveles frente a la gente del país y se llevan al tramo japonés en la misma posición, de forma provisional hasta tener los tramos colombianos.</w:t>
      </w:r>
    </w:p>
    <w:p w:rsidR="00000000" w:rsidDel="00000000" w:rsidP="00000000" w:rsidRDefault="00000000" w:rsidRPr="00000000" w14:paraId="00000158">
      <w:pPr>
        <w:pStyle w:val="Heading1"/>
        <w:keepNext w:val="0"/>
        <w:keepLines w:val="0"/>
        <w:spacing w:before="480" w:lineRule="auto"/>
        <w:rPr>
          <w:rFonts w:ascii="Arial" w:cs="Arial" w:eastAsia="Arial" w:hAnsi="Arial"/>
          <w:color w:val="1b1b1b"/>
          <w:sz w:val="46"/>
          <w:szCs w:val="46"/>
        </w:rPr>
      </w:pPr>
      <w:bookmarkStart w:colFirst="0" w:colLast="0" w:name="_30998l39l7wd" w:id="16"/>
      <w:bookmarkEnd w:id="16"/>
      <w:r w:rsidDel="00000000" w:rsidR="00000000" w:rsidRPr="00000000">
        <w:rPr>
          <w:rFonts w:ascii="Arial" w:cs="Arial" w:eastAsia="Arial" w:hAnsi="Arial"/>
          <w:sz w:val="26"/>
          <w:szCs w:val="26"/>
          <w:rtl w:val="0"/>
        </w:rPr>
        <w:t xml:space="preserve">Límites de nuestro proyecto</w:t>
      </w:r>
      <w:r w:rsidDel="00000000" w:rsidR="00000000" w:rsidRPr="00000000">
        <w:rPr>
          <w:rtl w:val="0"/>
        </w:rPr>
      </w:r>
    </w:p>
    <w:p w:rsidR="00000000" w:rsidDel="00000000" w:rsidP="00000000" w:rsidRDefault="00000000" w:rsidRPr="00000000" w14:paraId="00000159">
      <w:pPr>
        <w:numPr>
          <w:ilvl w:val="0"/>
          <w:numId w:val="5"/>
        </w:numPr>
        <w:spacing w:after="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Nuestro modelo se entrenó con datos de inversionistas japoneses, aunque el público previsto de BolsaLAB está en Colombia. Como no contamos con datos individuales abiertos de Colombia para este objetivo, la app mostrará categorías y no probabilidades personales. La validación con la NFCS nos permitirá estudiar cómo cambia el desempeño al pasar a otra población</w:t>
      </w:r>
    </w:p>
    <w:p w:rsidR="00000000" w:rsidDel="00000000" w:rsidP="00000000" w:rsidRDefault="00000000" w:rsidRPr="00000000" w14:paraId="0000015A">
      <w:pPr>
        <w:numPr>
          <w:ilvl w:val="0"/>
          <w:numId w:val="5"/>
        </w:numPr>
        <w:spacing w:after="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Las respuestas se dieron después de la caída (sección 2.5).</w:t>
      </w:r>
    </w:p>
    <w:p w:rsidR="00000000" w:rsidDel="00000000" w:rsidP="00000000" w:rsidRDefault="00000000" w:rsidRPr="00000000" w14:paraId="0000015B">
      <w:pPr>
        <w:numPr>
          <w:ilvl w:val="0"/>
          <w:numId w:val="5"/>
        </w:numPr>
        <w:spacing w:after="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El modelo explica poco de la venta. Un AUROC de 0,66 sirve para ordenar y enseñar, no para decidir por nadie. </w:t>
      </w:r>
    </w:p>
    <w:p w:rsidR="00000000" w:rsidDel="00000000" w:rsidP="00000000" w:rsidRDefault="00000000" w:rsidRPr="00000000" w14:paraId="0000015C">
      <w:pPr>
        <w:numPr>
          <w:ilvl w:val="0"/>
          <w:numId w:val="5"/>
        </w:numPr>
        <w:spacing w:after="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SHAP toma la variable de sexo masculo porque según los datos los hombres vendieron mas, pero no significa que ser hombre sea causal de venta.</w:t>
      </w:r>
    </w:p>
    <w:p w:rsidR="00000000" w:rsidDel="00000000" w:rsidP="00000000" w:rsidRDefault="00000000" w:rsidRPr="00000000" w14:paraId="0000015D">
      <w:pPr>
        <w:numPr>
          <w:ilvl w:val="0"/>
          <w:numId w:val="5"/>
        </w:numPr>
        <w:spacing w:after="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Se determinó como protocolo antes de ver los resultados las reglas que fueron elegidas nosotros mismos como grupo: 20% de la prueba, los 5 y 3 partes, la semilla 42, el umbral de una desviación y los tercios. </w:t>
      </w:r>
      <w:r w:rsidDel="00000000" w:rsidR="00000000" w:rsidRPr="00000000">
        <w:rPr>
          <w:rtl w:val="0"/>
        </w:rPr>
      </w:r>
    </w:p>
    <w:p w:rsidR="00000000" w:rsidDel="00000000" w:rsidP="00000000" w:rsidRDefault="00000000" w:rsidRPr="00000000" w14:paraId="0000015E">
      <w:pPr>
        <w:pStyle w:val="Heading1"/>
        <w:keepNext w:val="0"/>
        <w:keepLines w:val="0"/>
        <w:spacing w:before="480" w:lineRule="auto"/>
        <w:rPr>
          <w:rFonts w:ascii="Arial" w:cs="Arial" w:eastAsia="Arial" w:hAnsi="Arial"/>
          <w:color w:val="1b1b1b"/>
          <w:sz w:val="46"/>
          <w:szCs w:val="46"/>
          <w:u w:val="single"/>
        </w:rPr>
      </w:pPr>
      <w:bookmarkStart w:colFirst="0" w:colLast="0" w:name="_sz5vvixgh1gb" w:id="17"/>
      <w:bookmarkEnd w:id="17"/>
      <w:r w:rsidDel="00000000" w:rsidR="00000000" w:rsidRPr="00000000">
        <w:rPr>
          <w:rFonts w:ascii="Arial" w:cs="Arial" w:eastAsia="Arial" w:hAnsi="Arial"/>
          <w:u w:val="single"/>
          <w:rtl w:val="0"/>
        </w:rPr>
        <w:t xml:space="preserve">Aprendizajes y próximos pasos</w:t>
      </w:r>
      <w:r w:rsidDel="00000000" w:rsidR="00000000" w:rsidRPr="00000000">
        <w:rPr>
          <w:rtl w:val="0"/>
        </w:rPr>
      </w:r>
    </w:p>
    <w:p w:rsidR="00000000" w:rsidDel="00000000" w:rsidP="00000000" w:rsidRDefault="00000000" w:rsidRPr="00000000" w14:paraId="0000015F">
      <w:pPr>
        <w:pStyle w:val="Heading2"/>
        <w:keepNext w:val="0"/>
        <w:keepLines w:val="0"/>
        <w:spacing w:after="80" w:before="360" w:lineRule="auto"/>
        <w:rPr>
          <w:rFonts w:ascii="Arial" w:cs="Arial" w:eastAsia="Arial" w:hAnsi="Arial"/>
          <w:color w:val="1b1b1b"/>
          <w:sz w:val="34"/>
          <w:szCs w:val="34"/>
        </w:rPr>
      </w:pPr>
      <w:bookmarkStart w:colFirst="0" w:colLast="0" w:name="_iv86aa30inob" w:id="18"/>
      <w:bookmarkEnd w:id="18"/>
      <w:r w:rsidDel="00000000" w:rsidR="00000000" w:rsidRPr="00000000">
        <w:rPr>
          <w:rFonts w:ascii="Arial" w:cs="Arial" w:eastAsia="Arial" w:hAnsi="Arial"/>
          <w:rtl w:val="0"/>
        </w:rPr>
        <w:t xml:space="preserve">Aprendizajes</w:t>
      </w:r>
      <w:r w:rsidDel="00000000" w:rsidR="00000000" w:rsidRPr="00000000">
        <w:rPr>
          <w:rtl w:val="0"/>
        </w:rPr>
      </w:r>
    </w:p>
    <w:p w:rsidR="00000000" w:rsidDel="00000000" w:rsidP="00000000" w:rsidRDefault="00000000" w:rsidRPr="00000000" w14:paraId="00000160">
      <w:pPr>
        <w:numPr>
          <w:ilvl w:val="0"/>
          <w:numId w:val="3"/>
        </w:numPr>
        <w:spacing w:after="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Fijar las reglas antes de entrenar evita reprocesos: cuando CatBoost quedó una milésima arriba, confirma la regla inicial.</w:t>
      </w:r>
    </w:p>
    <w:p w:rsidR="00000000" w:rsidDel="00000000" w:rsidP="00000000" w:rsidRDefault="00000000" w:rsidRPr="00000000" w14:paraId="00000161">
      <w:pPr>
        <w:numPr>
          <w:ilvl w:val="0"/>
          <w:numId w:val="3"/>
        </w:numPr>
        <w:spacing w:after="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La herramienta SHAP no solo explica, también sirve como guía analítica donde reveló las variables que se deben revisar con mayor detenimiento como lo son el género o las preguntas de conocimiento financiero, las cuales se deben reforzar.</w:t>
      </w:r>
    </w:p>
    <w:p w:rsidR="00000000" w:rsidDel="00000000" w:rsidP="00000000" w:rsidRDefault="00000000" w:rsidRPr="00000000" w14:paraId="00000162">
      <w:pPr>
        <w:pStyle w:val="Heading2"/>
        <w:keepNext w:val="0"/>
        <w:keepLines w:val="0"/>
        <w:spacing w:after="80" w:before="360" w:lineRule="auto"/>
        <w:rPr>
          <w:rFonts w:ascii="Arial" w:cs="Arial" w:eastAsia="Arial" w:hAnsi="Arial"/>
          <w:color w:val="1b1b1b"/>
          <w:sz w:val="34"/>
          <w:szCs w:val="34"/>
        </w:rPr>
      </w:pPr>
      <w:bookmarkStart w:colFirst="0" w:colLast="0" w:name="_omrr16sh7lk6" w:id="19"/>
      <w:bookmarkEnd w:id="19"/>
      <w:r w:rsidDel="00000000" w:rsidR="00000000" w:rsidRPr="00000000">
        <w:rPr>
          <w:rFonts w:ascii="Arial" w:cs="Arial" w:eastAsia="Arial" w:hAnsi="Arial"/>
          <w:rtl w:val="0"/>
        </w:rPr>
        <w:t xml:space="preserve">Próximos pasos (ciclo 3B y ciclo 4)</w:t>
      </w:r>
      <w:r w:rsidDel="00000000" w:rsidR="00000000" w:rsidRPr="00000000">
        <w:rPr>
          <w:rtl w:val="0"/>
        </w:rPr>
      </w:r>
    </w:p>
    <w:p w:rsidR="00000000" w:rsidDel="00000000" w:rsidP="00000000" w:rsidRDefault="00000000" w:rsidRPr="00000000" w14:paraId="00000163">
      <w:pPr>
        <w:numPr>
          <w:ilvl w:val="0"/>
          <w:numId w:val="1"/>
        </w:numPr>
        <w:spacing w:after="0" w:lineRule="auto"/>
        <w:ind w:left="720" w:hanging="360"/>
        <w:jc w:val="both"/>
        <w:rPr>
          <w:rFonts w:ascii="Arial" w:cs="Arial" w:eastAsia="Arial" w:hAnsi="Arial"/>
          <w:u w:val="none"/>
        </w:rPr>
      </w:pPr>
      <w:r w:rsidDel="00000000" w:rsidR="00000000" w:rsidRPr="00000000">
        <w:rPr>
          <w:rFonts w:ascii="Arial Unicode MS" w:cs="Arial Unicode MS" w:eastAsia="Arial Unicode MS" w:hAnsi="Arial Unicode MS"/>
          <w:rtl w:val="0"/>
        </w:rPr>
        <w:t xml:space="preserve">En el ciclo 3B completaremos en el protocolo la regla para las dos variables que faltan en la NFCS y ejecutaremos una sola vez la prueba Japón → EE. UU., con nuestro modelo congelado.</w:t>
      </w:r>
    </w:p>
    <w:p w:rsidR="00000000" w:rsidDel="00000000" w:rsidP="00000000" w:rsidRDefault="00000000" w:rsidRPr="00000000" w14:paraId="00000164">
      <w:pPr>
        <w:numPr>
          <w:ilvl w:val="0"/>
          <w:numId w:val="1"/>
        </w:numPr>
        <w:spacing w:after="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T</w:t>
      </w:r>
      <w:r w:rsidDel="00000000" w:rsidR="00000000" w:rsidRPr="00000000">
        <w:rPr>
          <w:rFonts w:ascii="Arial" w:cs="Arial" w:eastAsia="Arial" w:hAnsi="Arial"/>
          <w:rtl w:val="0"/>
        </w:rPr>
        <w:t xml:space="preserve">erminaremos los textos de la app y probaremos el prototipo con usuarios.</w:t>
      </w:r>
    </w:p>
    <w:p w:rsidR="00000000" w:rsidDel="00000000" w:rsidP="00000000" w:rsidRDefault="00000000" w:rsidRPr="00000000" w14:paraId="00000165">
      <w:pPr>
        <w:numPr>
          <w:ilvl w:val="0"/>
          <w:numId w:val="1"/>
        </w:numPr>
        <w:spacing w:after="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En el ciclo 4 evaluaremos nuestro modelo ganador con el 20 % de prueba reservado y lo haremos una sola vez.</w:t>
      </w:r>
    </w:p>
    <w:p w:rsidR="00000000" w:rsidDel="00000000" w:rsidP="00000000" w:rsidRDefault="00000000" w:rsidRPr="00000000" w14:paraId="00000166">
      <w:pPr>
        <w:pStyle w:val="Heading1"/>
        <w:keepNext w:val="0"/>
        <w:keepLines w:val="0"/>
        <w:spacing w:before="480" w:lineRule="auto"/>
        <w:rPr>
          <w:rFonts w:ascii="Arial" w:cs="Arial" w:eastAsia="Arial" w:hAnsi="Arial"/>
          <w:color w:val="1b1b1b"/>
          <w:sz w:val="46"/>
          <w:szCs w:val="46"/>
        </w:rPr>
      </w:pPr>
      <w:bookmarkStart w:colFirst="0" w:colLast="0" w:name="_535fvf80nfqj" w:id="20"/>
      <w:bookmarkEnd w:id="20"/>
      <w:r w:rsidDel="00000000" w:rsidR="00000000" w:rsidRPr="00000000">
        <w:rPr>
          <w:rFonts w:ascii="Arial" w:cs="Arial" w:eastAsia="Arial" w:hAnsi="Arial"/>
          <w:rtl w:val="0"/>
        </w:rPr>
        <w:t xml:space="preserve">Referencias</w:t>
      </w:r>
      <w:r w:rsidDel="00000000" w:rsidR="00000000" w:rsidRPr="00000000">
        <w:rPr>
          <w:rtl w:val="0"/>
        </w:rPr>
      </w:r>
    </w:p>
    <w:p w:rsidR="00000000" w:rsidDel="00000000" w:rsidP="00000000" w:rsidRDefault="00000000" w:rsidRPr="00000000" w14:paraId="00000167">
      <w:pPr>
        <w:spacing w:after="80" w:lineRule="auto"/>
        <w:ind w:left="580" w:hanging="20"/>
        <w:rPr>
          <w:rFonts w:ascii="Arial" w:cs="Arial" w:eastAsia="Arial" w:hAnsi="Arial"/>
          <w:sz w:val="19"/>
          <w:szCs w:val="19"/>
        </w:rPr>
      </w:pPr>
      <w:r w:rsidDel="00000000" w:rsidR="00000000" w:rsidRPr="00000000">
        <w:rPr>
          <w:rFonts w:ascii="Arial" w:cs="Arial" w:eastAsia="Arial" w:hAnsi="Arial"/>
          <w:sz w:val="19"/>
          <w:szCs w:val="19"/>
          <w:rtl w:val="0"/>
        </w:rPr>
        <w:t xml:space="preserve">Assel, M., Sjoberg, D. D., &amp; Vickers, A. J. (2017). The Brier score does not evaluate the clinical utility of diagnostic tests or prediction models. Diagnostic and Prognostic Research, 1, 19.</w:t>
      </w:r>
    </w:p>
    <w:p w:rsidR="00000000" w:rsidDel="00000000" w:rsidP="00000000" w:rsidRDefault="00000000" w:rsidRPr="00000000" w14:paraId="00000168">
      <w:pPr>
        <w:spacing w:after="80" w:lineRule="auto"/>
        <w:ind w:left="580" w:hanging="20"/>
        <w:rPr>
          <w:rFonts w:ascii="Arial" w:cs="Arial" w:eastAsia="Arial" w:hAnsi="Arial"/>
          <w:sz w:val="19"/>
          <w:szCs w:val="19"/>
        </w:rPr>
      </w:pPr>
      <w:r w:rsidDel="00000000" w:rsidR="00000000" w:rsidRPr="00000000">
        <w:rPr>
          <w:rFonts w:ascii="Arial" w:cs="Arial" w:eastAsia="Arial" w:hAnsi="Arial"/>
          <w:sz w:val="19"/>
          <w:szCs w:val="19"/>
          <w:rtl w:val="0"/>
        </w:rPr>
        <w:t xml:space="preserve">Bawalle, A. A., Khan, M. S. R., &amp; Kadoya, Y. (2025). Overconfidence, financial literacy, and panic selling: Evidence from Japan. PLOS ONE, 20(3), e0315622. https://doi.org/10.1371/journal.pone.0315622</w:t>
      </w:r>
    </w:p>
    <w:p w:rsidR="00000000" w:rsidDel="00000000" w:rsidP="00000000" w:rsidRDefault="00000000" w:rsidRPr="00000000" w14:paraId="00000169">
      <w:pPr>
        <w:spacing w:after="80" w:lineRule="auto"/>
        <w:ind w:left="580" w:hanging="20"/>
        <w:rPr>
          <w:rFonts w:ascii="Arial" w:cs="Arial" w:eastAsia="Arial" w:hAnsi="Arial"/>
          <w:sz w:val="19"/>
          <w:szCs w:val="19"/>
        </w:rPr>
      </w:pPr>
      <w:r w:rsidDel="00000000" w:rsidR="00000000" w:rsidRPr="00000000">
        <w:rPr>
          <w:rFonts w:ascii="Arial" w:cs="Arial" w:eastAsia="Arial" w:hAnsi="Arial"/>
          <w:sz w:val="19"/>
          <w:szCs w:val="19"/>
          <w:rtl w:val="0"/>
        </w:rPr>
        <w:t xml:space="preserve">Cawley, G. C., &amp; Talbot, N. L. C. (2010). On over-fitting in model selection and subsequent selection bias in performance evaluation. Journal of Machine Learning Research, 11, 2079–2107.</w:t>
      </w:r>
    </w:p>
    <w:p w:rsidR="00000000" w:rsidDel="00000000" w:rsidP="00000000" w:rsidRDefault="00000000" w:rsidRPr="00000000" w14:paraId="0000016A">
      <w:pPr>
        <w:spacing w:after="80" w:lineRule="auto"/>
        <w:ind w:left="580" w:hanging="20"/>
        <w:rPr>
          <w:rFonts w:ascii="Arial" w:cs="Arial" w:eastAsia="Arial" w:hAnsi="Arial"/>
          <w:sz w:val="19"/>
          <w:szCs w:val="19"/>
        </w:rPr>
      </w:pPr>
      <w:r w:rsidDel="00000000" w:rsidR="00000000" w:rsidRPr="00000000">
        <w:rPr>
          <w:rFonts w:ascii="Arial" w:cs="Arial" w:eastAsia="Arial" w:hAnsi="Arial"/>
          <w:sz w:val="19"/>
          <w:szCs w:val="19"/>
          <w:rtl w:val="0"/>
        </w:rPr>
        <w:t xml:space="preserve">Elkind, D., Kaminski, K., Lo, A. W., Siah, K. W., &amp; Wong, C. H. (2022). When do investors freak out? Machine learning predictions of panic selling. The Journal of Financial Data Science, 4(1), 11–39.</w:t>
      </w:r>
    </w:p>
    <w:p w:rsidR="00000000" w:rsidDel="00000000" w:rsidP="00000000" w:rsidRDefault="00000000" w:rsidRPr="00000000" w14:paraId="0000016B">
      <w:pPr>
        <w:spacing w:after="80" w:lineRule="auto"/>
        <w:ind w:left="580" w:hanging="20"/>
        <w:rPr>
          <w:rFonts w:ascii="Arial" w:cs="Arial" w:eastAsia="Arial" w:hAnsi="Arial"/>
          <w:sz w:val="19"/>
          <w:szCs w:val="19"/>
        </w:rPr>
      </w:pPr>
      <w:r w:rsidDel="00000000" w:rsidR="00000000" w:rsidRPr="00000000">
        <w:rPr>
          <w:rFonts w:ascii="Arial" w:cs="Arial" w:eastAsia="Arial" w:hAnsi="Arial"/>
          <w:sz w:val="19"/>
          <w:szCs w:val="19"/>
          <w:rtl w:val="0"/>
        </w:rPr>
        <w:t xml:space="preserve">FINRA Investor Education Foundation. National Financial Capability Study, Investor Survey 2018 [datos]. https://www.finrafoundation.org/knowledge-we-gain-share/nfcs/data-and-downloads</w:t>
      </w:r>
    </w:p>
    <w:p w:rsidR="00000000" w:rsidDel="00000000" w:rsidP="00000000" w:rsidRDefault="00000000" w:rsidRPr="00000000" w14:paraId="0000016C">
      <w:pPr>
        <w:spacing w:after="80" w:lineRule="auto"/>
        <w:ind w:left="580" w:hanging="20"/>
        <w:rPr>
          <w:rFonts w:ascii="Arial" w:cs="Arial" w:eastAsia="Arial" w:hAnsi="Arial"/>
          <w:sz w:val="19"/>
          <w:szCs w:val="19"/>
        </w:rPr>
      </w:pPr>
      <w:r w:rsidDel="00000000" w:rsidR="00000000" w:rsidRPr="00000000">
        <w:rPr>
          <w:rFonts w:ascii="Arial" w:cs="Arial" w:eastAsia="Arial" w:hAnsi="Arial"/>
          <w:sz w:val="19"/>
          <w:szCs w:val="19"/>
          <w:rtl w:val="0"/>
        </w:rPr>
        <w:t xml:space="preserve">Grinsztajn, L., Oyallon, E., &amp; Varoquaux, G. (2022). Why do tree-based models still outperform deep learning on typical tabular data? NeurIPS 35.</w:t>
      </w:r>
    </w:p>
    <w:p w:rsidR="00000000" w:rsidDel="00000000" w:rsidP="00000000" w:rsidRDefault="00000000" w:rsidRPr="00000000" w14:paraId="0000016D">
      <w:pPr>
        <w:spacing w:after="80" w:lineRule="auto"/>
        <w:ind w:left="580" w:hanging="20"/>
        <w:rPr>
          <w:rFonts w:ascii="Arial" w:cs="Arial" w:eastAsia="Arial" w:hAnsi="Arial"/>
          <w:sz w:val="19"/>
          <w:szCs w:val="19"/>
        </w:rPr>
      </w:pPr>
      <w:r w:rsidDel="00000000" w:rsidR="00000000" w:rsidRPr="00000000">
        <w:rPr>
          <w:rFonts w:ascii="Arial" w:cs="Arial" w:eastAsia="Arial" w:hAnsi="Arial"/>
          <w:sz w:val="19"/>
          <w:szCs w:val="19"/>
          <w:rtl w:val="0"/>
        </w:rPr>
        <w:t xml:space="preserve">Kapoor, S., &amp; Narayanan, A. (2023). Leakage and the reproducibility crisis in machine-learning-based science. Patterns, 4(9), 100804.</w:t>
      </w:r>
    </w:p>
    <w:p w:rsidR="00000000" w:rsidDel="00000000" w:rsidP="00000000" w:rsidRDefault="00000000" w:rsidRPr="00000000" w14:paraId="0000016E">
      <w:pPr>
        <w:spacing w:after="80" w:lineRule="auto"/>
        <w:ind w:left="580" w:hanging="20"/>
        <w:rPr>
          <w:rFonts w:ascii="Arial" w:cs="Arial" w:eastAsia="Arial" w:hAnsi="Arial"/>
          <w:sz w:val="19"/>
          <w:szCs w:val="19"/>
        </w:rPr>
      </w:pPr>
      <w:r w:rsidDel="00000000" w:rsidR="00000000" w:rsidRPr="00000000">
        <w:rPr>
          <w:rFonts w:ascii="Arial" w:cs="Arial" w:eastAsia="Arial" w:hAnsi="Arial"/>
          <w:sz w:val="19"/>
          <w:szCs w:val="19"/>
          <w:rtl w:val="0"/>
        </w:rPr>
        <w:t xml:space="preserve">Lundberg, S. M., &amp; Lee, S.-I. (2017). A unified approach to interpreting model predictions. NeurIPS 30.</w:t>
      </w:r>
    </w:p>
    <w:p w:rsidR="00000000" w:rsidDel="00000000" w:rsidP="00000000" w:rsidRDefault="00000000" w:rsidRPr="00000000" w14:paraId="0000016F">
      <w:pPr>
        <w:spacing w:after="80" w:lineRule="auto"/>
        <w:ind w:left="580" w:hanging="20"/>
        <w:rPr>
          <w:rFonts w:ascii="Arial" w:cs="Arial" w:eastAsia="Arial" w:hAnsi="Arial"/>
          <w:sz w:val="19"/>
          <w:szCs w:val="19"/>
        </w:rPr>
      </w:pPr>
      <w:r w:rsidDel="00000000" w:rsidR="00000000" w:rsidRPr="00000000">
        <w:rPr>
          <w:rFonts w:ascii="Arial" w:cs="Arial" w:eastAsia="Arial" w:hAnsi="Arial"/>
          <w:sz w:val="19"/>
          <w:szCs w:val="19"/>
          <w:rtl w:val="0"/>
        </w:rPr>
        <w:t xml:space="preserve">McDermott, M. B. A., et al. (2024). A closer look at AUROC and AUPRC under class imbalance. NeurIPS 2024.</w:t>
      </w:r>
    </w:p>
    <w:p w:rsidR="00000000" w:rsidDel="00000000" w:rsidP="00000000" w:rsidRDefault="00000000" w:rsidRPr="00000000" w14:paraId="00000170">
      <w:pPr>
        <w:spacing w:after="80" w:lineRule="auto"/>
        <w:ind w:left="580" w:hanging="20"/>
        <w:rPr>
          <w:rFonts w:ascii="Arial" w:cs="Arial" w:eastAsia="Arial" w:hAnsi="Arial"/>
          <w:sz w:val="19"/>
          <w:szCs w:val="19"/>
        </w:rPr>
      </w:pPr>
      <w:r w:rsidDel="00000000" w:rsidR="00000000" w:rsidRPr="00000000">
        <w:rPr>
          <w:rFonts w:ascii="Arial" w:cs="Arial" w:eastAsia="Arial" w:hAnsi="Arial"/>
          <w:sz w:val="19"/>
          <w:szCs w:val="19"/>
          <w:rtl w:val="0"/>
        </w:rPr>
        <w:t xml:space="preserve">McElfresh, D., et al. (2023). When do neural nets outperform boosted trees on tabular data? NeurIPS 36.</w:t>
      </w:r>
    </w:p>
    <w:p w:rsidR="00000000" w:rsidDel="00000000" w:rsidP="00000000" w:rsidRDefault="00000000" w:rsidRPr="00000000" w14:paraId="00000171">
      <w:pPr>
        <w:spacing w:after="80" w:lineRule="auto"/>
        <w:ind w:left="580" w:hanging="20"/>
        <w:rPr>
          <w:rFonts w:ascii="Arial" w:cs="Arial" w:eastAsia="Arial" w:hAnsi="Arial"/>
          <w:sz w:val="19"/>
          <w:szCs w:val="19"/>
        </w:rPr>
      </w:pPr>
      <w:r w:rsidDel="00000000" w:rsidR="00000000" w:rsidRPr="00000000">
        <w:rPr>
          <w:rFonts w:ascii="Arial" w:cs="Arial" w:eastAsia="Arial" w:hAnsi="Arial"/>
          <w:sz w:val="19"/>
          <w:szCs w:val="19"/>
          <w:rtl w:val="0"/>
        </w:rPr>
        <w:t xml:space="preserve">Riley, R. D., et al. (2024). Evaluation of clinical prediction models (part 2): How to undertake an external validation study. BMJ, 384, e074820.</w:t>
      </w:r>
    </w:p>
    <w:p w:rsidR="00000000" w:rsidDel="00000000" w:rsidP="00000000" w:rsidRDefault="00000000" w:rsidRPr="00000000" w14:paraId="00000172">
      <w:pPr>
        <w:spacing w:after="80" w:lineRule="auto"/>
        <w:ind w:left="580" w:hanging="20"/>
        <w:rPr>
          <w:rFonts w:ascii="Arial" w:cs="Arial" w:eastAsia="Arial" w:hAnsi="Arial"/>
          <w:sz w:val="19"/>
          <w:szCs w:val="19"/>
        </w:rPr>
      </w:pPr>
      <w:r w:rsidDel="00000000" w:rsidR="00000000" w:rsidRPr="00000000">
        <w:rPr>
          <w:rFonts w:ascii="Arial" w:cs="Arial" w:eastAsia="Arial" w:hAnsi="Arial"/>
          <w:sz w:val="19"/>
          <w:szCs w:val="19"/>
          <w:rtl w:val="0"/>
        </w:rPr>
        <w:t xml:space="preserve">Van Calster, B., McLernon, D. J., van Smeden, M., Wynants, L., &amp; Steyerberg, E. W. (2019). Calibration: The Achilles heel of predictive analytics. BMC Medicine, 17, 230.</w:t>
      </w:r>
    </w:p>
    <w:p w:rsidR="00000000" w:rsidDel="00000000" w:rsidP="00000000" w:rsidRDefault="00000000" w:rsidRPr="00000000" w14:paraId="00000173">
      <w:pPr>
        <w:spacing w:after="80" w:lineRule="auto"/>
        <w:ind w:left="580" w:hanging="20"/>
        <w:rPr>
          <w:rFonts w:ascii="Arial" w:cs="Arial" w:eastAsia="Arial" w:hAnsi="Arial"/>
          <w:sz w:val="19"/>
          <w:szCs w:val="19"/>
        </w:rPr>
      </w:pPr>
      <w:r w:rsidDel="00000000" w:rsidR="00000000" w:rsidRPr="00000000">
        <w:rPr>
          <w:rFonts w:ascii="Arial" w:cs="Arial" w:eastAsia="Arial" w:hAnsi="Arial"/>
          <w:sz w:val="19"/>
          <w:szCs w:val="19"/>
          <w:rtl w:val="0"/>
        </w:rPr>
        <w:t xml:space="preserve">van den Goorbergh, R., van Smeden, M., Timmerman, D., &amp; Van Calster, B. (2022). The harm of class imbalance corrections for risk prediction models. JAMIA, 29(9), 1525–1534.</w:t>
      </w:r>
    </w:p>
    <w:p w:rsidR="00000000" w:rsidDel="00000000" w:rsidP="00000000" w:rsidRDefault="00000000" w:rsidRPr="00000000" w14:paraId="00000174">
      <w:pPr>
        <w:spacing w:after="80" w:lineRule="auto"/>
        <w:ind w:left="580" w:hanging="20"/>
        <w:rPr>
          <w:rFonts w:ascii="Arial" w:cs="Arial" w:eastAsia="Arial" w:hAnsi="Arial"/>
          <w:sz w:val="19"/>
          <w:szCs w:val="19"/>
        </w:rPr>
      </w:pPr>
      <w:r w:rsidDel="00000000" w:rsidR="00000000" w:rsidRPr="00000000">
        <w:rPr>
          <w:rFonts w:ascii="Arial" w:cs="Arial" w:eastAsia="Arial" w:hAnsi="Arial"/>
          <w:sz w:val="19"/>
          <w:szCs w:val="19"/>
          <w:rtl w:val="0"/>
        </w:rPr>
        <w:t xml:space="preserve">van Smeden, M., et al. (2019). Sample size for binary logistic prediction models: Beyond events per variable criteria. Statistical Methods in Medical Research, 28(8), 2455–2474.</w:t>
      </w:r>
    </w:p>
    <w:p w:rsidR="00000000" w:rsidDel="00000000" w:rsidP="00000000" w:rsidRDefault="00000000" w:rsidRPr="00000000" w14:paraId="00000175">
      <w:pPr>
        <w:spacing w:after="80" w:lineRule="auto"/>
        <w:ind w:left="580" w:hanging="20"/>
        <w:rPr>
          <w:rFonts w:ascii="Arial" w:cs="Arial" w:eastAsia="Arial" w:hAnsi="Arial"/>
          <w:sz w:val="19"/>
          <w:szCs w:val="19"/>
        </w:rPr>
      </w:pPr>
      <w:r w:rsidDel="00000000" w:rsidR="00000000" w:rsidRPr="00000000">
        <w:rPr>
          <w:rFonts w:ascii="Arial" w:cs="Arial" w:eastAsia="Arial" w:hAnsi="Arial"/>
          <w:sz w:val="19"/>
          <w:szCs w:val="19"/>
          <w:rtl w:val="0"/>
        </w:rPr>
        <w:t xml:space="preserve">Varma, S., &amp; Simon, R. (2006). Bias in error estimation when using cross-validation for model selection. BMC Bioinformatics, 7, 91.</w:t>
      </w:r>
    </w:p>
    <w:p w:rsidR="00000000" w:rsidDel="00000000" w:rsidP="00000000" w:rsidRDefault="00000000" w:rsidRPr="00000000" w14:paraId="00000176">
      <w:pPr>
        <w:spacing w:after="80" w:lineRule="auto"/>
        <w:ind w:left="580" w:hanging="20"/>
        <w:rPr>
          <w:rFonts w:ascii="Arial" w:cs="Arial" w:eastAsia="Arial" w:hAnsi="Arial"/>
          <w:sz w:val="19"/>
          <w:szCs w:val="19"/>
        </w:rPr>
      </w:pPr>
      <w:r w:rsidDel="00000000" w:rsidR="00000000" w:rsidRPr="00000000">
        <w:rPr>
          <w:rFonts w:ascii="Arial" w:cs="Arial" w:eastAsia="Arial" w:hAnsi="Arial"/>
          <w:sz w:val="19"/>
          <w:szCs w:val="19"/>
          <w:rtl w:val="0"/>
        </w:rPr>
        <w:t xml:space="preserve">Vickers, A. J., van Calster, B., &amp; Steyerberg, E. W. (2019). A simple, step-by-step guide to interpreting decision curve analysis. Diagnostic and Prognostic Research, 3, 18.</w:t>
      </w:r>
    </w:p>
    <w:p w:rsidR="00000000" w:rsidDel="00000000" w:rsidP="00000000" w:rsidRDefault="00000000" w:rsidRPr="00000000" w14:paraId="00000177">
      <w:pPr>
        <w:pStyle w:val="Heading1"/>
        <w:keepNext w:val="0"/>
        <w:keepLines w:val="0"/>
        <w:spacing w:before="480" w:lineRule="auto"/>
        <w:rPr>
          <w:rFonts w:ascii="Arial" w:cs="Arial" w:eastAsia="Arial" w:hAnsi="Arial"/>
          <w:color w:val="1b1b1b"/>
          <w:sz w:val="46"/>
          <w:szCs w:val="46"/>
        </w:rPr>
      </w:pPr>
      <w:bookmarkStart w:colFirst="0" w:colLast="0" w:name="_steagsq2c1n0" w:id="21"/>
      <w:bookmarkEnd w:id="21"/>
      <w:r w:rsidDel="00000000" w:rsidR="00000000" w:rsidRPr="00000000">
        <w:rPr>
          <w:rFonts w:ascii="Arial" w:cs="Arial" w:eastAsia="Arial" w:hAnsi="Arial"/>
          <w:rtl w:val="0"/>
        </w:rPr>
        <w:t xml:space="preserve">Anexos</w:t>
      </w:r>
      <w:r w:rsidDel="00000000" w:rsidR="00000000" w:rsidRPr="00000000">
        <w:rPr>
          <w:rtl w:val="0"/>
        </w:rPr>
      </w:r>
    </w:p>
    <w:p w:rsidR="00000000" w:rsidDel="00000000" w:rsidP="00000000" w:rsidRDefault="00000000" w:rsidRPr="00000000" w14:paraId="00000178">
      <w:pPr>
        <w:rPr>
          <w:rFonts w:ascii="Arial" w:cs="Arial" w:eastAsia="Arial" w:hAnsi="Arial"/>
        </w:rPr>
      </w:pPr>
      <w:r w:rsidDel="00000000" w:rsidR="00000000" w:rsidRPr="00000000">
        <w:rPr>
          <w:rFonts w:ascii="Arial" w:cs="Arial" w:eastAsia="Arial" w:hAnsi="Arial"/>
          <w:rtl w:val="0"/>
        </w:rPr>
        <w:t xml:space="preserve">Archivo que acompaña esta entrega: Grupo-10 - Backlog Ciclo 3A (actividades, responsables, herramientas de Design Thinking y entregables).</w:t>
      </w:r>
    </w:p>
    <w:p w:rsidR="00000000" w:rsidDel="00000000" w:rsidP="00000000" w:rsidRDefault="00000000" w:rsidRPr="00000000" w14:paraId="00000179">
      <w:pPr>
        <w:rPr>
          <w:rFonts w:ascii="Arial" w:cs="Arial" w:eastAsia="Arial" w:hAnsi="Arial"/>
        </w:rPr>
      </w:pPr>
      <w:r w:rsidDel="00000000" w:rsidR="00000000" w:rsidRPr="00000000">
        <w:rPr>
          <w:rFonts w:ascii="Arial" w:cs="Arial" w:eastAsia="Arial" w:hAnsi="Arial"/>
          <w:rtl w:val="0"/>
        </w:rPr>
        <w:t xml:space="preserve">Repositorio del proyecto: https://github.com/EspecializacionIA1/bolsalab.</w:t>
      </w:r>
    </w:p>
    <w:p w:rsidR="00000000" w:rsidDel="00000000" w:rsidP="00000000" w:rsidRDefault="00000000" w:rsidRPr="00000000" w14:paraId="0000017A">
      <w:pPr>
        <w:spacing w:after="60" w:before="120" w:lineRule="auto"/>
        <w:rPr>
          <w:rFonts w:ascii="Arial" w:cs="Arial" w:eastAsia="Arial" w:hAnsi="Arial"/>
          <w:color w:val="1f3a5e"/>
          <w:sz w:val="19"/>
          <w:szCs w:val="19"/>
        </w:rPr>
      </w:pPr>
      <w:r w:rsidDel="00000000" w:rsidR="00000000" w:rsidRPr="00000000">
        <w:rPr>
          <w:rFonts w:ascii="Arial" w:cs="Arial" w:eastAsia="Arial" w:hAnsi="Arial"/>
          <w:b w:val="1"/>
          <w:bCs w:val="1"/>
          <w:color w:val="1f3a5e"/>
          <w:sz w:val="19"/>
          <w:szCs w:val="19"/>
          <w:rtl w:val="0"/>
        </w:rPr>
        <w:t xml:space="preserve">Tabla 13. </w:t>
      </w:r>
      <w:r w:rsidDel="00000000" w:rsidR="00000000" w:rsidRPr="00000000">
        <w:rPr>
          <w:rFonts w:ascii="Arial" w:cs="Arial" w:eastAsia="Arial" w:hAnsi="Arial"/>
          <w:color w:val="1f3a5e"/>
          <w:sz w:val="19"/>
          <w:szCs w:val="19"/>
          <w:rtl w:val="0"/>
        </w:rPr>
        <w:t xml:space="preserve">Dónde está cada resultado en el repositorio.</w:t>
      </w:r>
    </w:p>
    <w:tbl>
      <w:tblPr>
        <w:tblStyle w:val="Table10"/>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0"/>
        <w:gridCol w:w="4935"/>
        <w:tblGridChange w:id="0">
          <w:tblGrid>
            <w:gridCol w:w="4800"/>
            <w:gridCol w:w="4935"/>
          </w:tblGrid>
        </w:tblGridChange>
      </w:tblGrid>
      <w:tr>
        <w:trPr>
          <w:cantSplit w:val="0"/>
          <w:trHeight w:val="285" w:hRule="atLeast"/>
          <w:tblHeader w:val="0"/>
        </w:trPr>
        <w:tc>
          <w:tcPr>
            <w:tcBorders>
              <w:top w:color="b4bcc6" w:space="0" w:sz="5" w:val="single"/>
              <w:left w:color="b4bcc6" w:space="0" w:sz="5" w:val="single"/>
              <w:bottom w:color="b4bcc6" w:space="0" w:sz="5" w:val="single"/>
              <w:right w:color="b4bcc6" w:space="0" w:sz="5" w:val="single"/>
            </w:tcBorders>
            <w:shd w:fill="1f3a5e" w:val="clear"/>
            <w:tcMar>
              <w:top w:w="0.0" w:type="dxa"/>
              <w:left w:w="100.0" w:type="dxa"/>
              <w:bottom w:w="0.0" w:type="dxa"/>
              <w:right w:w="100.0" w:type="dxa"/>
            </w:tcMar>
            <w:vAlign w:val="top"/>
          </w:tcPr>
          <w:p w:rsidR="00000000" w:rsidDel="00000000" w:rsidP="00000000" w:rsidRDefault="00000000" w:rsidRPr="00000000" w14:paraId="0000017B">
            <w:pPr>
              <w:spacing w:after="20" w:before="2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Resultado</w:t>
            </w:r>
          </w:p>
        </w:tc>
        <w:tc>
          <w:tcPr>
            <w:tcBorders>
              <w:top w:color="b4bcc6" w:space="0" w:sz="5" w:val="single"/>
              <w:left w:color="000000" w:space="0" w:sz="0" w:val="nil"/>
              <w:bottom w:color="b4bcc6" w:space="0" w:sz="5" w:val="single"/>
              <w:right w:color="b4bcc6" w:space="0" w:sz="5" w:val="single"/>
            </w:tcBorders>
            <w:shd w:fill="1f3a5e" w:val="clear"/>
            <w:tcMar>
              <w:top w:w="0.0" w:type="dxa"/>
              <w:left w:w="100.0" w:type="dxa"/>
              <w:bottom w:w="0.0" w:type="dxa"/>
              <w:right w:w="100.0" w:type="dxa"/>
            </w:tcMar>
            <w:vAlign w:val="top"/>
          </w:tcPr>
          <w:p w:rsidR="00000000" w:rsidDel="00000000" w:rsidP="00000000" w:rsidRDefault="00000000" w:rsidRPr="00000000" w14:paraId="0000017C">
            <w:pPr>
              <w:spacing w:after="20" w:before="20" w:line="276" w:lineRule="auto"/>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Archivo</w:t>
            </w:r>
          </w:p>
        </w:tc>
      </w:tr>
      <w:tr>
        <w:trPr>
          <w:cantSplit w:val="0"/>
          <w:trHeight w:val="285" w:hRule="atLeast"/>
          <w:tblHeader w:val="0"/>
        </w:trPr>
        <w:tc>
          <w:tcPr>
            <w:tcBorders>
              <w:top w:color="000000" w:space="0" w:sz="0" w:val="nil"/>
              <w:left w:color="b4bcc6" w:space="0" w:sz="5" w:val="single"/>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7D">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Reglas de evaluación</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7E">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docs/protocolo-evaluacion.md</w:t>
            </w:r>
          </w:p>
        </w:tc>
      </w:tr>
      <w:tr>
        <w:trPr>
          <w:cantSplit w:val="0"/>
          <w:trHeight w:val="285" w:hRule="atLeast"/>
          <w:tblHeader w:val="0"/>
        </w:trPr>
        <w:tc>
          <w:tcPr>
            <w:tcBorders>
              <w:top w:color="000000" w:space="0" w:sz="0" w:val="nil"/>
              <w:left w:color="b4bcc6" w:space="0" w:sz="5" w:val="single"/>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17F">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Partición, validación y comparación</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180">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bolsalab/modeling/train.py; reports/benchmark.csv</w:t>
            </w:r>
          </w:p>
        </w:tc>
      </w:tr>
      <w:tr>
        <w:trPr>
          <w:cantSplit w:val="0"/>
          <w:trHeight w:val="510" w:hRule="atLeast"/>
          <w:tblHeader w:val="0"/>
        </w:trPr>
        <w:tc>
          <w:tcPr>
            <w:tcBorders>
              <w:top w:color="000000" w:space="0" w:sz="0" w:val="nil"/>
              <w:left w:color="b4bcc6" w:space="0" w:sz="5" w:val="single"/>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81">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Exploración adicional</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82">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bolsalab/modeling/experiments.py; docs/experimentos.md; reports/experiments.csv</w:t>
            </w:r>
          </w:p>
        </w:tc>
      </w:tr>
      <w:tr>
        <w:trPr>
          <w:cantSplit w:val="0"/>
          <w:trHeight w:val="510" w:hRule="atLeast"/>
          <w:tblHeader w:val="0"/>
        </w:trPr>
        <w:tc>
          <w:tcPr>
            <w:tcBorders>
              <w:top w:color="000000" w:space="0" w:sz="0" w:val="nil"/>
              <w:left w:color="b4bcc6" w:space="0" w:sz="5" w:val="single"/>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183">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SHAP</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184">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bolsalab/explain.py; reports/shap_global.csv; notebook «Explicación del modelo con SHAP»</w:t>
            </w:r>
          </w:p>
        </w:tc>
      </w:tr>
      <w:tr>
        <w:trPr>
          <w:cantSplit w:val="0"/>
          <w:trHeight w:val="285" w:hRule="atLeast"/>
          <w:tblHeader w:val="0"/>
        </w:trPr>
        <w:tc>
          <w:tcPr>
            <w:tcBorders>
              <w:top w:color="000000" w:space="0" w:sz="0" w:val="nil"/>
              <w:left w:color="b4bcc6" w:space="0" w:sz="5" w:val="single"/>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85">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Desempeño por grupos</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86">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bolsalab/modeling/groups.py; reports/groups.csv</w:t>
            </w:r>
          </w:p>
        </w:tc>
      </w:tr>
      <w:tr>
        <w:trPr>
          <w:cantSplit w:val="0"/>
          <w:trHeight w:val="510" w:hRule="atLeast"/>
          <w:tblHeader w:val="0"/>
        </w:trPr>
        <w:tc>
          <w:tcPr>
            <w:tcBorders>
              <w:top w:color="000000" w:space="0" w:sz="0" w:val="nil"/>
              <w:left w:color="b4bcc6" w:space="0" w:sz="5" w:val="single"/>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187">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NFCS</w:t>
            </w:r>
          </w:p>
        </w:tc>
        <w:tc>
          <w:tcPr>
            <w:tcBorders>
              <w:top w:color="000000" w:space="0" w:sz="0" w:val="nil"/>
              <w:left w:color="000000" w:space="0" w:sz="0" w:val="nil"/>
              <w:bottom w:color="b4bcc6" w:space="0" w:sz="5" w:val="single"/>
              <w:right w:color="b4bcc6" w:space="0" w:sz="5" w:val="single"/>
            </w:tcBorders>
            <w:shd w:fill="f2f5f8" w:val="clear"/>
            <w:tcMar>
              <w:top w:w="0.0" w:type="dxa"/>
              <w:left w:w="100.0" w:type="dxa"/>
              <w:bottom w:w="0.0" w:type="dxa"/>
              <w:right w:w="100.0" w:type="dxa"/>
            </w:tcMar>
            <w:vAlign w:val="top"/>
          </w:tcPr>
          <w:p w:rsidR="00000000" w:rsidDel="00000000" w:rsidP="00000000" w:rsidRDefault="00000000" w:rsidRPr="00000000" w14:paraId="00000188">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bolsalab/nfcs.py; docs/nfcs.md; notebook «NFCS frente a Japón»</w:t>
            </w:r>
          </w:p>
        </w:tc>
      </w:tr>
      <w:tr>
        <w:trPr>
          <w:cantSplit w:val="0"/>
          <w:trHeight w:val="285" w:hRule="atLeast"/>
          <w:tblHeader w:val="0"/>
        </w:trPr>
        <w:tc>
          <w:tcPr>
            <w:tcBorders>
              <w:top w:color="000000" w:space="0" w:sz="0" w:val="nil"/>
              <w:left w:color="b4bcc6" w:space="0" w:sz="5" w:val="single"/>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89">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Prototipo</w:t>
            </w:r>
          </w:p>
        </w:tc>
        <w:tc>
          <w:tcPr>
            <w:tcBorders>
              <w:top w:color="000000" w:space="0" w:sz="0" w:val="nil"/>
              <w:left w:color="000000" w:space="0" w:sz="0" w:val="nil"/>
              <w:bottom w:color="b4bcc6" w:space="0" w:sz="5" w:val="single"/>
              <w:right w:color="b4bcc6" w:space="0" w:sz="5" w:val="single"/>
            </w:tcBorders>
            <w:tcMar>
              <w:top w:w="0.0" w:type="dxa"/>
              <w:left w:w="100.0" w:type="dxa"/>
              <w:bottom w:w="0.0" w:type="dxa"/>
              <w:right w:w="100.0" w:type="dxa"/>
            </w:tcMar>
            <w:vAlign w:val="top"/>
          </w:tcPr>
          <w:p w:rsidR="00000000" w:rsidDel="00000000" w:rsidP="00000000" w:rsidRDefault="00000000" w:rsidRPr="00000000" w14:paraId="0000018A">
            <w:pPr>
              <w:spacing w:after="20" w:before="2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bolsalab/modeling/predict.py; app/app.py; docs/prototipo.md</w:t>
            </w:r>
          </w:p>
        </w:tc>
      </w:tr>
    </w:tbl>
    <w:p w:rsidR="00000000" w:rsidDel="00000000" w:rsidP="00000000" w:rsidRDefault="00000000" w:rsidRPr="00000000" w14:paraId="0000018B">
      <w:pPr>
        <w:spacing w:after="160" w:lineRule="auto"/>
        <w:rPr>
          <w:rFonts w:ascii="Arial" w:cs="Arial" w:eastAsia="Arial" w:hAnsi="Arial"/>
          <w:i w:val="1"/>
          <w:iCs w:val="1"/>
          <w:color w:val="555f6b"/>
          <w:sz w:val="17"/>
          <w:szCs w:val="17"/>
        </w:rPr>
      </w:pPr>
      <w:r w:rsidDel="00000000" w:rsidR="00000000" w:rsidRPr="00000000">
        <w:rPr>
          <w:rFonts w:ascii="Arial" w:cs="Arial" w:eastAsia="Arial" w:hAnsi="Arial"/>
          <w:i w:val="1"/>
          <w:iCs w:val="1"/>
          <w:color w:val="555f6b"/>
          <w:sz w:val="17"/>
          <w:szCs w:val="17"/>
          <w:rtl w:val="0"/>
        </w:rPr>
        <w:t xml:space="preserve">Fuente: elaboración propia.</w:t>
      </w:r>
    </w:p>
    <w:p w:rsidR="00000000" w:rsidDel="00000000" w:rsidP="00000000" w:rsidRDefault="00000000" w:rsidRPr="00000000" w14:paraId="0000018C">
      <w:pPr>
        <w:spacing w:after="160" w:lineRule="auto"/>
        <w:rPr/>
      </w:pPr>
      <w:r w:rsidDel="00000000" w:rsidR="00000000" w:rsidRPr="00000000">
        <w:rPr>
          <w:rtl w:val="0"/>
        </w:rPr>
      </w:r>
    </w:p>
    <w:sectPr>
      <w:headerReference r:id="rId9" w:type="default"/>
      <w:footerReference r:id="rId10" w:type="default"/>
      <w:type w:val="nextPage"/>
      <w:pgSz w:h="15840" w:w="12240" w:orient="portrait"/>
      <w:pgMar w:bottom="1247" w:top="1247" w:left="1247" w:right="1247"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1b1b1b"/>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555f6b"/>
        <w:sz w:val="17"/>
        <w:szCs w:val="17"/>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1b1b1b"/>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1b1b1b"/>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555f6b"/>
        <w:sz w:val="17"/>
        <w:szCs w:val="17"/>
        <w:u w:val="none"/>
        <w:shd w:fill="auto" w:val="clear"/>
        <w:vertAlign w:val="baseline"/>
        <w:rtl w:val="0"/>
      </w:rPr>
      <w:t xml:space="preserve">BolsaLAB · Ciclo 3A: prototipado del modelo · Grupo 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b1b1b"/>
        <w:sz w:val="21"/>
        <w:szCs w:val="21"/>
        <w:lang w:val="en"/>
      </w:rPr>
    </w:rPrDefault>
    <w:pPrDefault>
      <w:pPr>
        <w:spacing w:after="12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rFonts w:ascii="Calibri" w:cs="Calibri" w:eastAsia="Calibri" w:hAnsi="Calibri"/>
      <w:b w:val="1"/>
      <w:bCs w:val="1"/>
      <w:color w:val="1f3a5e"/>
      <w:sz w:val="32"/>
      <w:szCs w:val="32"/>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color w:val="1f3a5e"/>
      <w:sz w:val="26"/>
      <w:szCs w:val="26"/>
    </w:rPr>
  </w:style>
  <w:style w:type="paragraph" w:styleId="Heading3">
    <w:name w:val="heading 3"/>
    <w:basedOn w:val="Normal"/>
    <w:next w:val="Normal"/>
    <w:pPr>
      <w:keepNext w:val="1"/>
      <w:keepLines w:val="1"/>
      <w:spacing w:after="120" w:before="200" w:lineRule="auto"/>
    </w:pPr>
    <w:rPr>
      <w:rFonts w:ascii="Calibri" w:cs="Calibri" w:eastAsia="Calibri" w:hAnsi="Calibri"/>
      <w:b w:val="1"/>
      <w:bCs w:val="1"/>
      <w:color w:val="1f3a5e"/>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ithub.com/EspecializacionIA1/bolsalab/blob/main/docs/protocolo-evaluacion.md" TargetMode="External"/><Relationship Id="rId7" Type="http://schemas.openxmlformats.org/officeDocument/2006/relationships/hyperlink" Target="http://protocolo-evaluacion.md" TargetMode="External"/><Relationship Id="rId8" Type="http://schemas.openxmlformats.org/officeDocument/2006/relationships/image" Target="media/image1.gif"/></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