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sz w:val="20"/>
          <w:szCs w:val="20"/>
        </w:rPr>
        <w:t xml:space="preserve">TECNOLÓGICO NACIONAL DE MÉXICO</w:t>
      </w:r>
    </w:p>
    <w:p>
      <w:pPr>
        <w:spacing w:after="40" w:before="0"/>
        <w:jc w:val="center"/>
      </w:pPr>
      <w:r>
        <w:rPr>
          <w:rFonts w:ascii="Arial" w:cs="Arial" w:eastAsia="Arial" w:hAnsi="Arial"/>
          <w:b/>
          <w:bCs/>
          <w:sz w:val="20"/>
          <w:szCs w:val="20"/>
        </w:rPr>
        <w:t xml:space="preserve">CAMPUS APATZINGÁN</w:t>
      </w:r>
    </w:p>
    <w:p>
      <w:pPr>
        <w:spacing w:after="40" w:before="0"/>
        <w:jc w:val="center"/>
      </w:pPr>
      <w:r>
        <w:rPr>
          <w:rFonts w:ascii="Arial" w:cs="Arial" w:eastAsia="Arial" w:hAnsi="Arial"/>
          <w:b/>
          <w:bCs/>
          <w:sz w:val="20"/>
          <w:szCs w:val="20"/>
        </w:rPr>
        <w:t xml:space="preserve">INGENIERÍA EN SISTEMAS COMPUTACIONALES</w:t>
      </w:r>
    </w:p>
    <w:p>
      <w:pPr>
        <w:pBdr>
          <w:bottom w:val="single" w:color="333333" w:sz="6" w:space="1"/>
        </w:pBdr>
        <w:spacing w:after="80" w:before="80"/>
      </w:pPr>
    </w:p>
    <w:p>
      <w:pPr>
        <w:spacing w:after="40" w:before="80"/>
        <w:jc w:val="center"/>
      </w:pPr>
      <w:r>
        <w:rPr>
          <w:rFonts w:ascii="Arial" w:cs="Arial" w:eastAsia="Arial" w:hAnsi="Arial"/>
          <w:b/>
          <w:bCs/>
          <w:sz w:val="22"/>
          <w:szCs w:val="22"/>
        </w:rPr>
        <w:t xml:space="preserve">INTELIGENCIA ARTIFICIAL – Unidad 1. Ciencia de Datos</w:t>
      </w:r>
    </w:p>
    <w:p>
      <w:pPr>
        <w:spacing w:after="80" w:before="40"/>
        <w:jc w:val="center"/>
      </w:pPr>
      <w:r>
        <w:rPr>
          <w:rFonts w:ascii="Arial" w:cs="Arial" w:eastAsia="Arial" w:hAnsi="Arial"/>
          <w:b/>
          <w:bCs/>
          <w:sz w:val="22"/>
          <w:szCs w:val="22"/>
        </w:rPr>
        <w:t xml:space="preserve">Actividad de Clase: Exploración y Análisis de un Dataset Real de E-commerce</w:t>
      </w:r>
    </w:p>
    <w:p>
      <w:pPr>
        <w:pBdr>
          <w:bottom w:val="single" w:color="333333" w:sz="6" w:space="1"/>
        </w:pBdr>
        <w:spacing w:after="80" w:before="80"/>
      </w:pPr>
    </w:p>
    <w:p>
      <w:pPr>
        <w:spacing w:after="120" w:before="80"/>
      </w:pPr>
    </w:p>
    <w:p>
      <w:pPr>
        <w:pStyle w:val="Heading1"/>
        <w:spacing w:after="100" w:before="200"/>
      </w:pPr>
      <w:r>
        <w:rPr>
          <w:rFonts w:ascii="Arial" w:cs="Arial" w:eastAsia="Arial" w:hAnsi="Arial"/>
          <w:b/>
          <w:bCs/>
          <w:sz w:val="24"/>
          <w:szCs w:val="24"/>
        </w:rPr>
        <w:t xml:space="preserve">Objetivo</w:t>
      </w:r>
    </w:p>
    <w:p>
      <w:pPr>
        <w:spacing w:after="100" w:before="0"/>
        <w:jc w:val="both"/>
      </w:pPr>
      <w:r>
        <w:rPr>
          <w:rFonts w:ascii="Arial" w:cs="Arial" w:eastAsia="Arial" w:hAnsi="Arial"/>
          <w:sz w:val="20"/>
          <w:szCs w:val="20"/>
        </w:rPr>
        <w:t xml:space="preserve">Desarrollar habilidades de análisis exploratorio de datos (EDA) aplicadas a un dataset real de transacciones comerciales. El alumno practicará estadística descriptiva básica, detección y tratamiento de valores nulos y erróneos, y codificación de variables categóricas (encoding), documentando cada decisión con su justificación.</w:t>
      </w:r>
    </w:p>
    <w:p>
      <w:pPr>
        <w:pStyle w:val="Heading1"/>
        <w:spacing w:after="100" w:before="200"/>
      </w:pPr>
      <w:r>
        <w:rPr>
          <w:rFonts w:ascii="Arial" w:cs="Arial" w:eastAsia="Arial" w:hAnsi="Arial"/>
          <w:b/>
          <w:bCs/>
          <w:sz w:val="24"/>
          <w:szCs w:val="24"/>
        </w:rPr>
        <w:t xml:space="preserve">Contexto del Dataset</w:t>
      </w:r>
    </w:p>
    <w:p>
      <w:pPr>
        <w:spacing w:after="100" w:before="0"/>
        <w:jc w:val="both"/>
      </w:pPr>
      <w:r>
        <w:rPr>
          <w:rFonts w:ascii="Arial" w:cs="Arial" w:eastAsia="Arial" w:hAnsi="Arial"/>
          <w:sz w:val="20"/>
          <w:szCs w:val="20"/>
        </w:rPr>
        <w:t xml:space="preserve">El dataset utilizado es el </w:t>
      </w:r>
      <w:r>
        <w:rPr>
          <w:rFonts w:ascii="Arial" w:cs="Arial" w:eastAsia="Arial" w:hAnsi="Arial"/>
          <w:b/>
          <w:bCs/>
          <w:sz w:val="20"/>
          <w:szCs w:val="20"/>
        </w:rPr>
        <w:t xml:space="preserve">Online Retail Dataset</w:t>
      </w:r>
      <w:r>
        <w:rPr>
          <w:rFonts w:ascii="Arial" w:cs="Arial" w:eastAsia="Arial" w:hAnsi="Arial"/>
          <w:sz w:val="20"/>
          <w:szCs w:val="20"/>
        </w:rPr>
        <w:t xml:space="preserve">, publicado por el repositorio UCI Machine Learning Repository. Contiene </w:t>
      </w:r>
      <w:r>
        <w:rPr>
          <w:rFonts w:ascii="Arial" w:cs="Arial" w:eastAsia="Arial" w:hAnsi="Arial"/>
          <w:b/>
          <w:bCs/>
          <w:sz w:val="20"/>
          <w:szCs w:val="20"/>
        </w:rPr>
        <w:t xml:space="preserve">541,909 registros</w:t>
      </w:r>
      <w:r>
        <w:rPr>
          <w:rFonts w:ascii="Arial" w:cs="Arial" w:eastAsia="Arial" w:hAnsi="Arial"/>
          <w:sz w:val="20"/>
          <w:szCs w:val="20"/>
        </w:rPr>
        <w:t xml:space="preserve"> de transacciones reales ocurridas entre diciembre de 2010 y diciembre de 2011 en una tienda minorista en línea con sede en el Reino Unido, cuyos principales clientes son mayoristas que compran artículos de regalo para toda ocasión.</w:t>
      </w:r>
    </w:p>
    <w:p>
      <w:pPr>
        <w:spacing w:after="120" w:before="80"/>
      </w:pPr>
    </w:p>
    <w:p>
      <w:pPr>
        <w:pStyle w:val="Heading2"/>
        <w:spacing w:after="80" w:before="160"/>
      </w:pPr>
      <w:r>
        <w:rPr>
          <w:rFonts w:ascii="Arial" w:cs="Arial" w:eastAsia="Arial" w:hAnsi="Arial"/>
          <w:b/>
          <w:bCs/>
          <w:sz w:val="22"/>
          <w:szCs w:val="22"/>
        </w:rPr>
        <w:t xml:space="preserve">Columnas del dataset</w:t>
      </w:r>
    </w:p>
    <w:p>
      <w:pPr>
        <w:spacing w:after="120" w:before="4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1820"/>
        <w:gridCol w:w="1300"/>
        <w:gridCol w:w="6060"/>
      </w:tblGrid>
      <w:tr>
        <w:trPr>
          <w:tblHeader/>
        </w:trPr>
        <w:tc>
          <w:tcPr>
            <w:tcW w:type="dxa" w:w="1820"/>
            <w:tcBorders>
              <w:top w:val="single" w:color="AAAAAA" w:sz="4"/>
              <w:left w:val="single" w:color="AAAAAA" w:sz="4"/>
              <w:bottom w:val="single" w:color="AAAAAA" w:sz="4"/>
              <w:right w:val="single" w:color="AAAAAA" w:sz="4"/>
            </w:tcBorders>
            <w:shd w:fill="333333"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Columna</w:t>
            </w:r>
          </w:p>
        </w:tc>
        <w:tc>
          <w:tcPr>
            <w:tcW w:type="dxa" w:w="1300"/>
            <w:tcBorders>
              <w:top w:val="single" w:color="AAAAAA" w:sz="4"/>
              <w:left w:val="single" w:color="AAAAAA" w:sz="4"/>
              <w:bottom w:val="single" w:color="AAAAAA" w:sz="4"/>
              <w:right w:val="single" w:color="AAAAAA" w:sz="4"/>
            </w:tcBorders>
            <w:shd w:fill="333333" w:val="clear"/>
            <w:tcMar>
              <w:top w:type="dxa" w:w="80"/>
              <w:left w:type="dxa" w:w="120"/>
              <w:bottom w:type="dxa" w:w="80"/>
              <w:right w:type="dxa" w:w="120"/>
            </w:tcMar>
            <w:vAlign w:val="center"/>
          </w:tcPr>
          <w:p>
            <w:r>
              <w:rPr>
                <w:rFonts w:ascii="Arial" w:cs="Arial" w:eastAsia="Arial" w:hAnsi="Arial"/>
                <w:b/>
                <w:bCs/>
                <w:color w:val="FFFFFF"/>
                <w:sz w:val="18"/>
                <w:szCs w:val="18"/>
              </w:rPr>
              <w:t xml:space="preserve">Tipo</w:t>
            </w:r>
          </w:p>
        </w:tc>
        <w:tc>
          <w:tcPr>
            <w:tcW w:type="dxa" w:w="6060"/>
            <w:tcBorders>
              <w:top w:val="single" w:color="AAAAAA" w:sz="4"/>
              <w:left w:val="single" w:color="AAAAAA" w:sz="4"/>
              <w:bottom w:val="single" w:color="AAAAAA" w:sz="4"/>
              <w:right w:val="single" w:color="AAAAAA" w:sz="4"/>
            </w:tcBorders>
            <w:shd w:fill="333333"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Descripción</w:t>
            </w:r>
          </w:p>
        </w:tc>
      </w:tr>
      <w:tr>
        <w:tc>
          <w:tcPr>
            <w:tcW w:type="dxa" w:w="18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InvoiceNo</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object</w:t>
            </w:r>
          </w:p>
        </w:tc>
        <w:tc>
          <w:tcPr>
            <w:tcW w:type="dxa" w:w="6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Número de factura. Si inicia con 'C', indica una cancelación.</w:t>
            </w:r>
          </w:p>
        </w:tc>
      </w:tr>
      <w:tr>
        <w:tc>
          <w:tcPr>
            <w:tcW w:type="dxa" w:w="1820"/>
            <w:tcBorders>
              <w:top w:val="single" w:color="AAAAAA" w:sz="4"/>
              <w:left w:val="single" w:color="AAAAAA" w:sz="4"/>
              <w:bottom w:val="single" w:color="AAAAAA" w:sz="4"/>
              <w:right w:val="single" w:color="AAAAAA" w:sz="4"/>
            </w:tcBorders>
            <w:shd w:fill="F0F0F0" w:val="clear"/>
            <w:tcMar>
              <w:top w:type="dxa" w:w="80"/>
              <w:left w:type="dxa" w:w="120"/>
              <w:bottom w:type="dxa" w:w="80"/>
              <w:right w:type="dxa" w:w="120"/>
            </w:tcMar>
            <w:vAlign w:val="center"/>
          </w:tcPr>
          <w:p>
            <w:r>
              <w:rPr>
                <w:rFonts w:ascii="Arial" w:cs="Arial" w:eastAsia="Arial" w:hAnsi="Arial"/>
                <w:sz w:val="18"/>
                <w:szCs w:val="18"/>
              </w:rPr>
              <w:t xml:space="preserve">StockCode</w:t>
            </w:r>
          </w:p>
        </w:tc>
        <w:tc>
          <w:tcPr>
            <w:tcW w:type="dxa" w:w="1300"/>
            <w:tcBorders>
              <w:top w:val="single" w:color="AAAAAA" w:sz="4"/>
              <w:left w:val="single" w:color="AAAAAA" w:sz="4"/>
              <w:bottom w:val="single" w:color="AAAAAA" w:sz="4"/>
              <w:right w:val="single" w:color="AAAAAA" w:sz="4"/>
            </w:tcBorders>
            <w:shd w:fill="F0F0F0" w:val="clear"/>
            <w:tcMar>
              <w:top w:type="dxa" w:w="80"/>
              <w:left w:type="dxa" w:w="120"/>
              <w:bottom w:type="dxa" w:w="80"/>
              <w:right w:type="dxa" w:w="120"/>
            </w:tcMar>
            <w:vAlign w:val="center"/>
          </w:tcPr>
          <w:p>
            <w:r>
              <w:rPr>
                <w:rFonts w:ascii="Arial" w:cs="Arial" w:eastAsia="Arial" w:hAnsi="Arial"/>
                <w:sz w:val="18"/>
                <w:szCs w:val="18"/>
              </w:rPr>
              <w:t xml:space="preserve">object</w:t>
            </w:r>
          </w:p>
        </w:tc>
        <w:tc>
          <w:tcPr>
            <w:tcW w:type="dxa" w:w="6060"/>
            <w:tcBorders>
              <w:top w:val="single" w:color="AAAAAA" w:sz="4"/>
              <w:left w:val="single" w:color="AAAAAA" w:sz="4"/>
              <w:bottom w:val="single" w:color="AAAAAA" w:sz="4"/>
              <w:right w:val="single" w:color="AAAAAA" w:sz="4"/>
            </w:tcBorders>
            <w:shd w:fill="F0F0F0" w:val="clear"/>
            <w:tcMar>
              <w:top w:type="dxa" w:w="80"/>
              <w:left w:type="dxa" w:w="120"/>
              <w:bottom w:type="dxa" w:w="80"/>
              <w:right w:type="dxa" w:w="120"/>
            </w:tcMar>
            <w:vAlign w:val="center"/>
          </w:tcPr>
          <w:p>
            <w:r>
              <w:rPr>
                <w:rFonts w:ascii="Arial" w:cs="Arial" w:eastAsia="Arial" w:hAnsi="Arial"/>
                <w:sz w:val="18"/>
                <w:szCs w:val="18"/>
              </w:rPr>
              <w:t xml:space="preserve">Código de producto (5 dígitos + posibles letras).</w:t>
            </w:r>
          </w:p>
        </w:tc>
      </w:tr>
      <w:tr>
        <w:tc>
          <w:tcPr>
            <w:tcW w:type="dxa" w:w="18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Description</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object</w:t>
            </w:r>
          </w:p>
        </w:tc>
        <w:tc>
          <w:tcPr>
            <w:tcW w:type="dxa" w:w="6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Nombre del producto. Contiene valores nulos.</w:t>
            </w:r>
          </w:p>
        </w:tc>
      </w:tr>
      <w:tr>
        <w:tc>
          <w:tcPr>
            <w:tcW w:type="dxa" w:w="1820"/>
            <w:tcBorders>
              <w:top w:val="single" w:color="AAAAAA" w:sz="4"/>
              <w:left w:val="single" w:color="AAAAAA" w:sz="4"/>
              <w:bottom w:val="single" w:color="AAAAAA" w:sz="4"/>
              <w:right w:val="single" w:color="AAAAAA" w:sz="4"/>
            </w:tcBorders>
            <w:shd w:fill="F0F0F0" w:val="clear"/>
            <w:tcMar>
              <w:top w:type="dxa" w:w="80"/>
              <w:left w:type="dxa" w:w="120"/>
              <w:bottom w:type="dxa" w:w="80"/>
              <w:right w:type="dxa" w:w="120"/>
            </w:tcMar>
            <w:vAlign w:val="center"/>
          </w:tcPr>
          <w:p>
            <w:r>
              <w:rPr>
                <w:rFonts w:ascii="Arial" w:cs="Arial" w:eastAsia="Arial" w:hAnsi="Arial"/>
                <w:sz w:val="18"/>
                <w:szCs w:val="18"/>
              </w:rPr>
              <w:t xml:space="preserve">Quantity</w:t>
            </w:r>
          </w:p>
        </w:tc>
        <w:tc>
          <w:tcPr>
            <w:tcW w:type="dxa" w:w="1300"/>
            <w:tcBorders>
              <w:top w:val="single" w:color="AAAAAA" w:sz="4"/>
              <w:left w:val="single" w:color="AAAAAA" w:sz="4"/>
              <w:bottom w:val="single" w:color="AAAAAA" w:sz="4"/>
              <w:right w:val="single" w:color="AAAAAA" w:sz="4"/>
            </w:tcBorders>
            <w:shd w:fill="F0F0F0" w:val="clear"/>
            <w:tcMar>
              <w:top w:type="dxa" w:w="80"/>
              <w:left w:type="dxa" w:w="120"/>
              <w:bottom w:type="dxa" w:w="80"/>
              <w:right w:type="dxa" w:w="120"/>
            </w:tcMar>
            <w:vAlign w:val="center"/>
          </w:tcPr>
          <w:p>
            <w:r>
              <w:rPr>
                <w:rFonts w:ascii="Arial" w:cs="Arial" w:eastAsia="Arial" w:hAnsi="Arial"/>
                <w:sz w:val="18"/>
                <w:szCs w:val="18"/>
              </w:rPr>
              <w:t xml:space="preserve">int64</w:t>
            </w:r>
          </w:p>
        </w:tc>
        <w:tc>
          <w:tcPr>
            <w:tcW w:type="dxa" w:w="6060"/>
            <w:tcBorders>
              <w:top w:val="single" w:color="AAAAAA" w:sz="4"/>
              <w:left w:val="single" w:color="AAAAAA" w:sz="4"/>
              <w:bottom w:val="single" w:color="AAAAAA" w:sz="4"/>
              <w:right w:val="single" w:color="AAAAAA" w:sz="4"/>
            </w:tcBorders>
            <w:shd w:fill="F0F0F0" w:val="clear"/>
            <w:tcMar>
              <w:top w:type="dxa" w:w="80"/>
              <w:left w:type="dxa" w:w="120"/>
              <w:bottom w:type="dxa" w:w="80"/>
              <w:right w:type="dxa" w:w="120"/>
            </w:tcMar>
            <w:vAlign w:val="center"/>
          </w:tcPr>
          <w:p>
            <w:r>
              <w:rPr>
                <w:rFonts w:ascii="Arial" w:cs="Arial" w:eastAsia="Arial" w:hAnsi="Arial"/>
                <w:sz w:val="18"/>
                <w:szCs w:val="18"/>
              </w:rPr>
              <w:t xml:space="preserve">Unidades por transacción. Valores negativos indican devoluciones.</w:t>
            </w:r>
          </w:p>
        </w:tc>
      </w:tr>
      <w:tr>
        <w:tc>
          <w:tcPr>
            <w:tcW w:type="dxa" w:w="18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InvoiceDate</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datetime</w:t>
            </w:r>
          </w:p>
        </w:tc>
        <w:tc>
          <w:tcPr>
            <w:tcW w:type="dxa" w:w="6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Fecha y hora de la transacción.</w:t>
            </w:r>
          </w:p>
        </w:tc>
      </w:tr>
      <w:tr>
        <w:tc>
          <w:tcPr>
            <w:tcW w:type="dxa" w:w="1820"/>
            <w:tcBorders>
              <w:top w:val="single" w:color="AAAAAA" w:sz="4"/>
              <w:left w:val="single" w:color="AAAAAA" w:sz="4"/>
              <w:bottom w:val="single" w:color="AAAAAA" w:sz="4"/>
              <w:right w:val="single" w:color="AAAAAA" w:sz="4"/>
            </w:tcBorders>
            <w:shd w:fill="F0F0F0" w:val="clear"/>
            <w:tcMar>
              <w:top w:type="dxa" w:w="80"/>
              <w:left w:type="dxa" w:w="120"/>
              <w:bottom w:type="dxa" w:w="80"/>
              <w:right w:type="dxa" w:w="120"/>
            </w:tcMar>
            <w:vAlign w:val="center"/>
          </w:tcPr>
          <w:p>
            <w:r>
              <w:rPr>
                <w:rFonts w:ascii="Arial" w:cs="Arial" w:eastAsia="Arial" w:hAnsi="Arial"/>
                <w:sz w:val="18"/>
                <w:szCs w:val="18"/>
              </w:rPr>
              <w:t xml:space="preserve">UnitPrice</w:t>
            </w:r>
          </w:p>
        </w:tc>
        <w:tc>
          <w:tcPr>
            <w:tcW w:type="dxa" w:w="1300"/>
            <w:tcBorders>
              <w:top w:val="single" w:color="AAAAAA" w:sz="4"/>
              <w:left w:val="single" w:color="AAAAAA" w:sz="4"/>
              <w:bottom w:val="single" w:color="AAAAAA" w:sz="4"/>
              <w:right w:val="single" w:color="AAAAAA" w:sz="4"/>
            </w:tcBorders>
            <w:shd w:fill="F0F0F0" w:val="clear"/>
            <w:tcMar>
              <w:top w:type="dxa" w:w="80"/>
              <w:left w:type="dxa" w:w="120"/>
              <w:bottom w:type="dxa" w:w="80"/>
              <w:right w:type="dxa" w:w="120"/>
            </w:tcMar>
            <w:vAlign w:val="center"/>
          </w:tcPr>
          <w:p>
            <w:r>
              <w:rPr>
                <w:rFonts w:ascii="Arial" w:cs="Arial" w:eastAsia="Arial" w:hAnsi="Arial"/>
                <w:sz w:val="18"/>
                <w:szCs w:val="18"/>
              </w:rPr>
              <w:t xml:space="preserve">float64</w:t>
            </w:r>
          </w:p>
        </w:tc>
        <w:tc>
          <w:tcPr>
            <w:tcW w:type="dxa" w:w="6060"/>
            <w:tcBorders>
              <w:top w:val="single" w:color="AAAAAA" w:sz="4"/>
              <w:left w:val="single" w:color="AAAAAA" w:sz="4"/>
              <w:bottom w:val="single" w:color="AAAAAA" w:sz="4"/>
              <w:right w:val="single" w:color="AAAAAA" w:sz="4"/>
            </w:tcBorders>
            <w:shd w:fill="F0F0F0" w:val="clear"/>
            <w:tcMar>
              <w:top w:type="dxa" w:w="80"/>
              <w:left w:type="dxa" w:w="120"/>
              <w:bottom w:type="dxa" w:w="80"/>
              <w:right w:type="dxa" w:w="120"/>
            </w:tcMar>
            <w:vAlign w:val="center"/>
          </w:tcPr>
          <w:p>
            <w:r>
              <w:rPr>
                <w:rFonts w:ascii="Arial" w:cs="Arial" w:eastAsia="Arial" w:hAnsi="Arial"/>
                <w:sz w:val="18"/>
                <w:szCs w:val="18"/>
              </w:rPr>
              <w:t xml:space="preserve">Precio unitario en libras esterlinas (£). Puede ser ≤ 0.</w:t>
            </w:r>
          </w:p>
        </w:tc>
      </w:tr>
      <w:tr>
        <w:tc>
          <w:tcPr>
            <w:tcW w:type="dxa" w:w="18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CustomerID</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float64</w:t>
            </w:r>
          </w:p>
        </w:tc>
        <w:tc>
          <w:tcPr>
            <w:tcW w:type="dxa" w:w="6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Identificador del cliente. Tiene ~25% de valores nulos.</w:t>
            </w:r>
          </w:p>
        </w:tc>
      </w:tr>
      <w:tr>
        <w:tc>
          <w:tcPr>
            <w:tcW w:type="dxa" w:w="1820"/>
            <w:tcBorders>
              <w:top w:val="single" w:color="AAAAAA" w:sz="4"/>
              <w:left w:val="single" w:color="AAAAAA" w:sz="4"/>
              <w:bottom w:val="single" w:color="AAAAAA" w:sz="4"/>
              <w:right w:val="single" w:color="AAAAAA" w:sz="4"/>
            </w:tcBorders>
            <w:shd w:fill="F0F0F0" w:val="clear"/>
            <w:tcMar>
              <w:top w:type="dxa" w:w="80"/>
              <w:left w:type="dxa" w:w="120"/>
              <w:bottom w:type="dxa" w:w="80"/>
              <w:right w:type="dxa" w:w="120"/>
            </w:tcMar>
            <w:vAlign w:val="center"/>
          </w:tcPr>
          <w:p>
            <w:r>
              <w:rPr>
                <w:rFonts w:ascii="Arial" w:cs="Arial" w:eastAsia="Arial" w:hAnsi="Arial"/>
                <w:sz w:val="18"/>
                <w:szCs w:val="18"/>
              </w:rPr>
              <w:t xml:space="preserve">Country</w:t>
            </w:r>
          </w:p>
        </w:tc>
        <w:tc>
          <w:tcPr>
            <w:tcW w:type="dxa" w:w="1300"/>
            <w:tcBorders>
              <w:top w:val="single" w:color="AAAAAA" w:sz="4"/>
              <w:left w:val="single" w:color="AAAAAA" w:sz="4"/>
              <w:bottom w:val="single" w:color="AAAAAA" w:sz="4"/>
              <w:right w:val="single" w:color="AAAAAA" w:sz="4"/>
            </w:tcBorders>
            <w:shd w:fill="F0F0F0" w:val="clear"/>
            <w:tcMar>
              <w:top w:type="dxa" w:w="80"/>
              <w:left w:type="dxa" w:w="120"/>
              <w:bottom w:type="dxa" w:w="80"/>
              <w:right w:type="dxa" w:w="120"/>
            </w:tcMar>
            <w:vAlign w:val="center"/>
          </w:tcPr>
          <w:p>
            <w:r>
              <w:rPr>
                <w:rFonts w:ascii="Arial" w:cs="Arial" w:eastAsia="Arial" w:hAnsi="Arial"/>
                <w:sz w:val="18"/>
                <w:szCs w:val="18"/>
              </w:rPr>
              <w:t xml:space="preserve">object</w:t>
            </w:r>
          </w:p>
        </w:tc>
        <w:tc>
          <w:tcPr>
            <w:tcW w:type="dxa" w:w="6060"/>
            <w:tcBorders>
              <w:top w:val="single" w:color="AAAAAA" w:sz="4"/>
              <w:left w:val="single" w:color="AAAAAA" w:sz="4"/>
              <w:bottom w:val="single" w:color="AAAAAA" w:sz="4"/>
              <w:right w:val="single" w:color="AAAAAA" w:sz="4"/>
            </w:tcBorders>
            <w:shd w:fill="F0F0F0" w:val="clear"/>
            <w:tcMar>
              <w:top w:type="dxa" w:w="80"/>
              <w:left w:type="dxa" w:w="120"/>
              <w:bottom w:type="dxa" w:w="80"/>
              <w:right w:type="dxa" w:w="120"/>
            </w:tcMar>
            <w:vAlign w:val="center"/>
          </w:tcPr>
          <w:p>
            <w:r>
              <w:rPr>
                <w:rFonts w:ascii="Arial" w:cs="Arial" w:eastAsia="Arial" w:hAnsi="Arial"/>
                <w:sz w:val="18"/>
                <w:szCs w:val="18"/>
              </w:rPr>
              <w:t xml:space="preserve">País del cliente. Variable categórica con 38 valores únicos.</w:t>
            </w:r>
          </w:p>
        </w:tc>
      </w:tr>
    </w:tbl>
    <w:p>
      <w:pPr>
        <w:spacing w:after="120" w:before="120"/>
      </w:pPr>
    </w:p>
    <w:p>
      <w:pPr>
        <w:pStyle w:val="Heading1"/>
        <w:spacing w:after="100" w:before="200"/>
      </w:pPr>
      <w:r>
        <w:rPr>
          <w:rFonts w:ascii="Arial" w:cs="Arial" w:eastAsia="Arial" w:hAnsi="Arial"/>
          <w:b/>
          <w:bCs/>
          <w:sz w:val="24"/>
          <w:szCs w:val="24"/>
        </w:rPr>
        <w:t xml:space="preserve">Instrucciones Generales</w:t>
      </w:r>
    </w:p>
    <w:p>
      <w:pPr>
        <w:spacing w:after="100" w:before="0"/>
        <w:jc w:val="both"/>
      </w:pPr>
      <w:r>
        <w:rPr>
          <w:rFonts w:ascii="Arial" w:cs="Arial" w:eastAsia="Arial" w:hAnsi="Arial"/>
          <w:sz w:val="20"/>
          <w:szCs w:val="20"/>
        </w:rPr>
        <w:t xml:space="preserve">Crea una libreta en Google Colab y organízala en secciones usando celdas de texto como encabezados. El dataset se carga directamente desde la URL oficial de UCI (consulta la libreta de referencia para la línea de carga). Responde cada pregunta guía dentro de la libreta, en celdas de texto, con tus propias palabras. Toda decisión de limpieza debe ir acompañada de su justificación.</w:t>
      </w:r>
    </w:p>
    <w:p>
      <w:pPr>
        <w:pStyle w:val="Heading1"/>
        <w:spacing w:after="100" w:before="200"/>
      </w:pPr>
      <w:r>
        <w:rPr>
          <w:rFonts w:ascii="Arial" w:cs="Arial" w:eastAsia="Arial" w:hAnsi="Arial"/>
          <w:b/>
          <w:bCs/>
          <w:sz w:val="24"/>
          <w:szCs w:val="24"/>
        </w:rPr>
        <w:t xml:space="preserve">Flujo de Trabajo</w:t>
      </w:r>
    </w:p>
    <w:p>
      <w:pPr>
        <w:pStyle w:val="Heading2"/>
        <w:spacing w:after="80" w:before="160"/>
      </w:pPr>
      <w:r>
        <w:rPr>
          <w:rFonts w:ascii="Arial" w:cs="Arial" w:eastAsia="Arial" w:hAnsi="Arial"/>
          <w:b/>
          <w:bCs/>
          <w:sz w:val="22"/>
          <w:szCs w:val="22"/>
        </w:rPr>
        <w:t xml:space="preserve">1. Carga de Librerías y Datos</w:t>
      </w:r>
    </w:p>
    <w:p>
      <w:pPr>
        <w:spacing w:after="100" w:before="0"/>
        <w:jc w:val="both"/>
      </w:pPr>
      <w:r>
        <w:rPr>
          <w:rFonts w:ascii="Arial" w:cs="Arial" w:eastAsia="Arial" w:hAnsi="Arial"/>
          <w:sz w:val="20"/>
          <w:szCs w:val="20"/>
        </w:rPr>
        <w:t xml:space="preserve">Importa las librerías necesarias (pandas, numpy, matplotlib, seaborn) y carga el dataset desde la URL de UCI. Verifica que la carga fue exitosa revisando las primeras y últimas filas.</w:t>
      </w:r>
    </w:p>
    <w:p>
      <w:pPr>
        <w:pStyle w:val="Heading2"/>
        <w:spacing w:after="80" w:before="160"/>
      </w:pPr>
      <w:r>
        <w:rPr>
          <w:rFonts w:ascii="Arial" w:cs="Arial" w:eastAsia="Arial" w:hAnsi="Arial"/>
          <w:b/>
          <w:bCs/>
          <w:sz w:val="22"/>
          <w:szCs w:val="22"/>
        </w:rPr>
        <w:t xml:space="preserve">2. Exploración Inicial</w:t>
      </w:r>
    </w:p>
    <w:p>
      <w:pPr>
        <w:spacing w:after="100" w:before="0"/>
        <w:jc w:val="both"/>
      </w:pPr>
      <w:r>
        <w:rPr>
          <w:rFonts w:ascii="Arial" w:cs="Arial" w:eastAsia="Arial" w:hAnsi="Arial"/>
          <w:sz w:val="20"/>
          <w:szCs w:val="20"/>
        </w:rPr>
        <w:t xml:space="preserve">Obtén una visión general del dataset: dimensiones, tipos de datos, conteo de no-nulos y un primer vistazo al contenido. Usa las funciones básicas de exploración de pandas.</w:t>
      </w:r>
    </w:p>
    <w:p>
      <w:pPr>
        <w:spacing w:after="100" w:before="0"/>
        <w:jc w:val="both"/>
      </w:pPr>
      <w:r>
        <w:rPr>
          <w:rFonts w:ascii="Arial" w:cs="Arial" w:eastAsia="Arial" w:hAnsi="Arial"/>
          <w:b/>
          <w:bCs/>
          <w:sz w:val="20"/>
          <w:szCs w:val="20"/>
        </w:rPr>
        <w:t xml:space="preserve">Preguntas guía:</w:t>
      </w:r>
    </w:p>
    <w:p>
      <w:pPr>
        <w:pStyle w:val="ListParagraph"/>
        <w:numPr>
          <w:ilvl w:val="0"/>
          <w:numId w:val="2"/>
        </w:numPr>
        <w:spacing w:after="60" w:before="0"/>
      </w:pPr>
      <w:r>
        <w:rPr>
          <w:rFonts w:ascii="Arial" w:cs="Arial" w:eastAsia="Arial" w:hAnsi="Arial"/>
          <w:i/>
          <w:iCs/>
          <w:sz w:val="20"/>
          <w:szCs w:val="20"/>
        </w:rPr>
        <w:t xml:space="preserve">¿Cuántas filas y columnas tiene el dataset?</w:t>
      </w:r>
    </w:p>
    <w:p>
      <w:pPr>
        <w:pStyle w:val="ListParagraph"/>
        <w:numPr>
          <w:ilvl w:val="0"/>
          <w:numId w:val="2"/>
        </w:numPr>
        <w:spacing w:after="60" w:before="0"/>
      </w:pPr>
      <w:r>
        <w:rPr>
          <w:rFonts w:ascii="Arial" w:cs="Arial" w:eastAsia="Arial" w:hAnsi="Arial"/>
          <w:i/>
          <w:iCs/>
          <w:sz w:val="20"/>
          <w:szCs w:val="20"/>
        </w:rPr>
        <w:t xml:space="preserve">¿Qué columnas presentan valores faltantes a primera vista?</w:t>
      </w:r>
    </w:p>
    <w:p>
      <w:pPr>
        <w:pStyle w:val="ListParagraph"/>
        <w:numPr>
          <w:ilvl w:val="0"/>
          <w:numId w:val="2"/>
        </w:numPr>
        <w:spacing w:after="60" w:before="0"/>
      </w:pPr>
      <w:r>
        <w:rPr>
          <w:rFonts w:ascii="Arial" w:cs="Arial" w:eastAsia="Arial" w:hAnsi="Arial"/>
          <w:i/>
          <w:iCs/>
          <w:sz w:val="20"/>
          <w:szCs w:val="20"/>
        </w:rPr>
        <w:t xml:space="preserve">¿El tipo de dato de InvoiceDate es el correcto? ¿Qué implicaciones tiene?</w:t>
      </w:r>
    </w:p>
    <w:p>
      <w:pPr>
        <w:pStyle w:val="Heading2"/>
        <w:spacing w:after="80" w:before="160"/>
      </w:pPr>
      <w:r>
        <w:rPr>
          <w:rFonts w:ascii="Arial" w:cs="Arial" w:eastAsia="Arial" w:hAnsi="Arial"/>
          <w:b/>
          <w:bCs/>
          <w:sz w:val="22"/>
          <w:szCs w:val="22"/>
        </w:rPr>
        <w:t xml:space="preserve">3. Estadística Descriptiva Básica</w:t>
      </w:r>
    </w:p>
    <w:p>
      <w:pPr>
        <w:spacing w:after="100" w:before="0"/>
        <w:jc w:val="both"/>
      </w:pPr>
      <w:r>
        <w:rPr>
          <w:rFonts w:ascii="Arial" w:cs="Arial" w:eastAsia="Arial" w:hAnsi="Arial"/>
          <w:sz w:val="20"/>
          <w:szCs w:val="20"/>
        </w:rPr>
        <w:t xml:space="preserve">Calcula las estadísticas descriptivas de las variables numéricas: media, mediana, moda, desviación estándar, mínimo y máximo. Genera histogramas para las columnas Quantity y UnitPrice para visualizar su distribución.</w:t>
      </w:r>
    </w:p>
    <w:p>
      <w:pPr>
        <w:spacing w:after="100" w:before="0"/>
        <w:jc w:val="both"/>
      </w:pPr>
      <w:r>
        <w:rPr>
          <w:rFonts w:ascii="Arial" w:cs="Arial" w:eastAsia="Arial" w:hAnsi="Arial"/>
          <w:b/>
          <w:bCs/>
          <w:sz w:val="20"/>
          <w:szCs w:val="20"/>
        </w:rPr>
        <w:t xml:space="preserve">Preguntas guía:</w:t>
      </w:r>
    </w:p>
    <w:p>
      <w:pPr>
        <w:pStyle w:val="ListParagraph"/>
        <w:numPr>
          <w:ilvl w:val="0"/>
          <w:numId w:val="2"/>
        </w:numPr>
        <w:spacing w:after="60" w:before="0"/>
      </w:pPr>
      <w:r>
        <w:rPr>
          <w:rFonts w:ascii="Arial" w:cs="Arial" w:eastAsia="Arial" w:hAnsi="Arial"/>
          <w:i/>
          <w:iCs/>
          <w:sz w:val="20"/>
          <w:szCs w:val="20"/>
        </w:rPr>
        <w:t xml:space="preserve">¿La media y la mediana de Quantity son similares? ¿Qué nos dice eso sobre la distribución?</w:t>
      </w:r>
    </w:p>
    <w:p>
      <w:pPr>
        <w:pStyle w:val="ListParagraph"/>
        <w:numPr>
          <w:ilvl w:val="0"/>
          <w:numId w:val="2"/>
        </w:numPr>
        <w:spacing w:after="60" w:before="0"/>
      </w:pPr>
      <w:r>
        <w:rPr>
          <w:rFonts w:ascii="Arial" w:cs="Arial" w:eastAsia="Arial" w:hAnsi="Arial"/>
          <w:i/>
          <w:iCs/>
          <w:sz w:val="20"/>
          <w:szCs w:val="20"/>
        </w:rPr>
        <w:t xml:space="preserve">¿El valor mínimo de Quantity o UnitPrice tiene sentido comercialmente? ¿Qué podría explicarlo?</w:t>
      </w:r>
    </w:p>
    <w:p>
      <w:pPr>
        <w:pStyle w:val="ListParagraph"/>
        <w:numPr>
          <w:ilvl w:val="0"/>
          <w:numId w:val="2"/>
        </w:numPr>
        <w:spacing w:after="60" w:before="0"/>
      </w:pPr>
      <w:r>
        <w:rPr>
          <w:rFonts w:ascii="Arial" w:cs="Arial" w:eastAsia="Arial" w:hAnsi="Arial"/>
          <w:i/>
          <w:iCs/>
          <w:sz w:val="20"/>
          <w:szCs w:val="20"/>
        </w:rPr>
        <w:t xml:space="preserve">¿La distribución de UnitPrice es simétrica o asimétrica? ¿Por qué?</w:t>
      </w:r>
    </w:p>
    <w:p>
      <w:pPr>
        <w:pStyle w:val="Heading2"/>
        <w:spacing w:after="80" w:before="160"/>
      </w:pPr>
      <w:r>
        <w:rPr>
          <w:rFonts w:ascii="Arial" w:cs="Arial" w:eastAsia="Arial" w:hAnsi="Arial"/>
          <w:b/>
          <w:bCs/>
          <w:sz w:val="22"/>
          <w:szCs w:val="22"/>
        </w:rPr>
        <w:t xml:space="preserve">4. Detección de Valores Nulos</w:t>
      </w:r>
    </w:p>
    <w:p>
      <w:pPr>
        <w:spacing w:after="100" w:before="0"/>
        <w:jc w:val="both"/>
      </w:pPr>
      <w:r>
        <w:rPr>
          <w:rFonts w:ascii="Arial" w:cs="Arial" w:eastAsia="Arial" w:hAnsi="Arial"/>
          <w:sz w:val="20"/>
          <w:szCs w:val="20"/>
        </w:rPr>
        <w:t xml:space="preserve">Identifica con precisión cuántos valores faltan en cada columna y calcula su porcentaje respecto al total de registros. Visualiza el patrón de nulos en el dataset con un mapa de calor.</w:t>
      </w:r>
    </w:p>
    <w:p>
      <w:pPr>
        <w:spacing w:after="100" w:before="0"/>
        <w:jc w:val="both"/>
      </w:pPr>
      <w:r>
        <w:rPr>
          <w:rFonts w:ascii="Arial" w:cs="Arial" w:eastAsia="Arial" w:hAnsi="Arial"/>
          <w:b/>
          <w:bCs/>
          <w:sz w:val="20"/>
          <w:szCs w:val="20"/>
        </w:rPr>
        <w:t xml:space="preserve">Preguntas guía:</w:t>
      </w:r>
    </w:p>
    <w:p>
      <w:pPr>
        <w:pStyle w:val="ListParagraph"/>
        <w:numPr>
          <w:ilvl w:val="0"/>
          <w:numId w:val="2"/>
        </w:numPr>
        <w:spacing w:after="60" w:before="0"/>
      </w:pPr>
      <w:r>
        <w:rPr>
          <w:rFonts w:ascii="Arial" w:cs="Arial" w:eastAsia="Arial" w:hAnsi="Arial"/>
          <w:i/>
          <w:iCs/>
          <w:sz w:val="20"/>
          <w:szCs w:val="20"/>
        </w:rPr>
        <w:t xml:space="preserve">¿Qué columnas tienen valores nulos y en qué porcentaje?</w:t>
      </w:r>
    </w:p>
    <w:p>
      <w:pPr>
        <w:pStyle w:val="ListParagraph"/>
        <w:numPr>
          <w:ilvl w:val="0"/>
          <w:numId w:val="2"/>
        </w:numPr>
        <w:spacing w:after="60" w:before="0"/>
      </w:pPr>
      <w:r>
        <w:rPr>
          <w:rFonts w:ascii="Arial" w:cs="Arial" w:eastAsia="Arial" w:hAnsi="Arial"/>
          <w:i/>
          <w:iCs/>
          <w:sz w:val="20"/>
          <w:szCs w:val="20"/>
        </w:rPr>
        <w:t xml:space="preserve">CustomerID tiene ~25% de nulos. ¿Es seguro eliminar esas filas? ¿Qué alternativa propondrías?</w:t>
      </w:r>
    </w:p>
    <w:p>
      <w:pPr>
        <w:pStyle w:val="ListParagraph"/>
        <w:numPr>
          <w:ilvl w:val="0"/>
          <w:numId w:val="2"/>
        </w:numPr>
        <w:spacing w:after="60" w:before="0"/>
      </w:pPr>
      <w:r>
        <w:rPr>
          <w:rFonts w:ascii="Arial" w:cs="Arial" w:eastAsia="Arial" w:hAnsi="Arial"/>
          <w:i/>
          <w:iCs/>
          <w:sz w:val="20"/>
          <w:szCs w:val="20"/>
        </w:rPr>
        <w:t xml:space="preserve">¿Qué impacto tendría en el análisis ignorar las filas con Description nula?</w:t>
      </w:r>
    </w:p>
    <w:p>
      <w:pPr>
        <w:pStyle w:val="Heading2"/>
        <w:spacing w:after="80" w:before="160"/>
      </w:pPr>
      <w:r>
        <w:rPr>
          <w:rFonts w:ascii="Arial" w:cs="Arial" w:eastAsia="Arial" w:hAnsi="Arial"/>
          <w:b/>
          <w:bCs/>
          <w:sz w:val="22"/>
          <w:szCs w:val="22"/>
        </w:rPr>
        <w:t xml:space="preserve">5. Detección de Valores Erróneos</w:t>
      </w:r>
    </w:p>
    <w:p>
      <w:pPr>
        <w:spacing w:after="100" w:before="0"/>
        <w:jc w:val="both"/>
      </w:pPr>
      <w:r>
        <w:rPr>
          <w:rFonts w:ascii="Arial" w:cs="Arial" w:eastAsia="Arial" w:hAnsi="Arial"/>
          <w:sz w:val="20"/>
          <w:szCs w:val="20"/>
        </w:rPr>
        <w:t xml:space="preserve">Además de los nulos, identifica registros que no son faltantes pero tampoco tienen sentido para el análisis. Investiga tres tipos de anomalías en este dataset:</w:t>
      </w:r>
    </w:p>
    <w:p>
      <w:pPr>
        <w:pStyle w:val="ListParagraph"/>
        <w:numPr>
          <w:ilvl w:val="0"/>
          <w:numId w:val="3"/>
        </w:numPr>
        <w:spacing w:after="60" w:before="0"/>
      </w:pPr>
      <w:r>
        <w:rPr>
          <w:rFonts w:ascii="Arial" w:cs="Arial" w:eastAsia="Arial" w:hAnsi="Arial"/>
          <w:b/>
          <w:bCs/>
          <w:sz w:val="20"/>
          <w:szCs w:val="20"/>
        </w:rPr>
        <w:t xml:space="preserve">a) Cancelaciones:</w:t>
      </w:r>
      <w:r>
        <w:rPr>
          <w:rFonts w:ascii="Arial" w:cs="Arial" w:eastAsia="Arial" w:hAnsi="Arial"/>
          <w:sz w:val="20"/>
          <w:szCs w:val="20"/>
        </w:rPr>
        <w:t xml:space="preserve"> las facturas cuyo InvoiceNo inicia con 'C' corresponden a devoluciones y generan cantidades negativas. Cuantifícalas.</w:t>
      </w:r>
    </w:p>
    <w:p>
      <w:pPr>
        <w:pStyle w:val="ListParagraph"/>
        <w:numPr>
          <w:ilvl w:val="0"/>
          <w:numId w:val="3"/>
        </w:numPr>
        <w:spacing w:after="60" w:before="0"/>
      </w:pPr>
      <w:r>
        <w:rPr>
          <w:rFonts w:ascii="Arial" w:cs="Arial" w:eastAsia="Arial" w:hAnsi="Arial"/>
          <w:b/>
          <w:bCs/>
          <w:sz w:val="20"/>
          <w:szCs w:val="20"/>
        </w:rPr>
        <w:t xml:space="preserve">b) Precios inválidos:</w:t>
      </w:r>
      <w:r>
        <w:rPr>
          <w:rFonts w:ascii="Arial" w:cs="Arial" w:eastAsia="Arial" w:hAnsi="Arial"/>
          <w:sz w:val="20"/>
          <w:szCs w:val="20"/>
        </w:rPr>
        <w:t xml:space="preserve"> identifica filas con UnitPrice igual a 0 o negativo y examina qué tipo de registros son.</w:t>
      </w:r>
    </w:p>
    <w:p>
      <w:pPr>
        <w:pStyle w:val="ListParagraph"/>
        <w:numPr>
          <w:ilvl w:val="0"/>
          <w:numId w:val="3"/>
        </w:numPr>
        <w:spacing w:after="60" w:before="0"/>
      </w:pPr>
      <w:r>
        <w:rPr>
          <w:rFonts w:ascii="Arial" w:cs="Arial" w:eastAsia="Arial" w:hAnsi="Arial"/>
          <w:b/>
          <w:bCs/>
          <w:sz w:val="20"/>
          <w:szCs w:val="20"/>
        </w:rPr>
        <w:t xml:space="preserve">c) Outliers en Quantity:</w:t>
      </w:r>
      <w:r>
        <w:rPr>
          <w:rFonts w:ascii="Arial" w:cs="Arial" w:eastAsia="Arial" w:hAnsi="Arial"/>
          <w:sz w:val="20"/>
          <w:szCs w:val="20"/>
        </w:rPr>
        <w:t xml:space="preserve"> usa un boxplot para visualizar la distribución e identificar valores atípicos extremos.</w:t>
      </w:r>
    </w:p>
    <w:p>
      <w:pPr>
        <w:spacing w:after="120" w:before="60"/>
      </w:pPr>
    </w:p>
    <w:p>
      <w:pPr>
        <w:spacing w:after="100" w:before="0"/>
        <w:jc w:val="both"/>
      </w:pPr>
      <w:r>
        <w:rPr>
          <w:rFonts w:ascii="Arial" w:cs="Arial" w:eastAsia="Arial" w:hAnsi="Arial"/>
          <w:b/>
          <w:bCs/>
          <w:sz w:val="20"/>
          <w:szCs w:val="20"/>
        </w:rPr>
        <w:t xml:space="preserve">Preguntas guía:</w:t>
      </w:r>
    </w:p>
    <w:p>
      <w:pPr>
        <w:pStyle w:val="ListParagraph"/>
        <w:numPr>
          <w:ilvl w:val="0"/>
          <w:numId w:val="2"/>
        </w:numPr>
        <w:spacing w:after="60" w:before="0"/>
      </w:pPr>
      <w:r>
        <w:rPr>
          <w:rFonts w:ascii="Arial" w:cs="Arial" w:eastAsia="Arial" w:hAnsi="Arial"/>
          <w:i/>
          <w:iCs/>
          <w:sz w:val="20"/>
          <w:szCs w:val="20"/>
        </w:rPr>
        <w:t xml:space="preserve">¿Cuántas transacciones son cancelaciones? ¿Las incluirías en un análisis de ventas?</w:t>
      </w:r>
    </w:p>
    <w:p>
      <w:pPr>
        <w:pStyle w:val="ListParagraph"/>
        <w:numPr>
          <w:ilvl w:val="0"/>
          <w:numId w:val="2"/>
        </w:numPr>
        <w:spacing w:after="60" w:before="0"/>
      </w:pPr>
      <w:r>
        <w:rPr>
          <w:rFonts w:ascii="Arial" w:cs="Arial" w:eastAsia="Arial" w:hAnsi="Arial"/>
          <w:i/>
          <w:iCs/>
          <w:sz w:val="20"/>
          <w:szCs w:val="20"/>
        </w:rPr>
        <w:t xml:space="preserve">¿Qué harías con las filas de UnitPrice igual a 0? ¿Eliminarlas o conservarlas con algún criterio?</w:t>
      </w:r>
    </w:p>
    <w:p>
      <w:pPr>
        <w:pStyle w:val="ListParagraph"/>
        <w:numPr>
          <w:ilvl w:val="0"/>
          <w:numId w:val="2"/>
        </w:numPr>
        <w:spacing w:after="60" w:before="0"/>
      </w:pPr>
      <w:r>
        <w:rPr>
          <w:rFonts w:ascii="Arial" w:cs="Arial" w:eastAsia="Arial" w:hAnsi="Arial"/>
          <w:i/>
          <w:iCs/>
          <w:sz w:val="20"/>
          <w:szCs w:val="20"/>
        </w:rPr>
        <w:t xml:space="preserve">¿El valor máximo de Quantity es razonable en un contexto de ventas al mayoreo?</w:t>
      </w:r>
    </w:p>
    <w:p>
      <w:pPr>
        <w:pStyle w:val="Heading2"/>
        <w:spacing w:after="80" w:before="160"/>
      </w:pPr>
      <w:r>
        <w:rPr>
          <w:rFonts w:ascii="Arial" w:cs="Arial" w:eastAsia="Arial" w:hAnsi="Arial"/>
          <w:b/>
          <w:bCs/>
          <w:sz w:val="22"/>
          <w:szCs w:val="22"/>
        </w:rPr>
        <w:t xml:space="preserve">6. Tratamiento y Limpieza de Datos</w:t>
      </w:r>
    </w:p>
    <w:p>
      <w:pPr>
        <w:spacing w:after="100" w:before="0"/>
        <w:jc w:val="both"/>
      </w:pPr>
      <w:r>
        <w:rPr>
          <w:rFonts w:ascii="Arial" w:cs="Arial" w:eastAsia="Arial" w:hAnsi="Arial"/>
          <w:sz w:val="20"/>
          <w:szCs w:val="20"/>
        </w:rPr>
        <w:t xml:space="preserve">Con base en los hallazgos anteriores, diseña y aplica un pipeline de limpieza. Trabaja siempre sobre una copia del DataFrame original (df.copy()) para preservar los datos crudos. Documenta cada decisión: qué eliminaste, qué conservaste y por qué. Al final, genera un reporte de comparación antes/después (número de registros).</w:t>
      </w:r>
    </w:p>
    <w:p>
      <w:pPr>
        <w:spacing w:after="100" w:before="0"/>
        <w:jc w:val="both"/>
      </w:pPr>
      <w:r>
        <w:rPr>
          <w:rFonts w:ascii="Arial" w:cs="Arial" w:eastAsia="Arial" w:hAnsi="Arial"/>
          <w:b/>
          <w:bCs/>
          <w:sz w:val="20"/>
          <w:szCs w:val="20"/>
        </w:rPr>
        <w:t xml:space="preserve">Preguntas guía:</w:t>
      </w:r>
    </w:p>
    <w:p>
      <w:pPr>
        <w:pStyle w:val="ListParagraph"/>
        <w:numPr>
          <w:ilvl w:val="0"/>
          <w:numId w:val="2"/>
        </w:numPr>
        <w:spacing w:after="60" w:before="0"/>
      </w:pPr>
      <w:r>
        <w:rPr>
          <w:rFonts w:ascii="Arial" w:cs="Arial" w:eastAsia="Arial" w:hAnsi="Arial"/>
          <w:i/>
          <w:iCs/>
          <w:sz w:val="20"/>
          <w:szCs w:val="20"/>
        </w:rPr>
        <w:t xml:space="preserve">¿Qué porcentaje de registros se perdió tras la limpieza? ¿Es aceptable para el análisis?</w:t>
      </w:r>
    </w:p>
    <w:p>
      <w:pPr>
        <w:pStyle w:val="ListParagraph"/>
        <w:numPr>
          <w:ilvl w:val="0"/>
          <w:numId w:val="2"/>
        </w:numPr>
        <w:spacing w:after="60" w:before="0"/>
      </w:pPr>
      <w:r>
        <w:rPr>
          <w:rFonts w:ascii="Arial" w:cs="Arial" w:eastAsia="Arial" w:hAnsi="Arial"/>
          <w:i/>
          <w:iCs/>
          <w:sz w:val="20"/>
          <w:szCs w:val="20"/>
        </w:rPr>
        <w:t xml:space="preserve">¿El tratamiento adecuado de CustomerID depende del objetivo del análisis? Explica con un ejemplo.</w:t>
      </w:r>
    </w:p>
    <w:p>
      <w:pPr>
        <w:pStyle w:val="ListParagraph"/>
        <w:numPr>
          <w:ilvl w:val="0"/>
          <w:numId w:val="2"/>
        </w:numPr>
        <w:spacing w:after="60" w:before="0"/>
      </w:pPr>
      <w:r>
        <w:rPr>
          <w:rFonts w:ascii="Arial" w:cs="Arial" w:eastAsia="Arial" w:hAnsi="Arial"/>
          <w:i/>
          <w:iCs/>
          <w:sz w:val="20"/>
          <w:szCs w:val="20"/>
        </w:rPr>
        <w:t xml:space="preserve">¿Qué otros problemas de calidad identificaste que no se mencionan explícitamente aquí?</w:t>
      </w:r>
    </w:p>
    <w:p>
      <w:pPr>
        <w:pStyle w:val="Heading2"/>
        <w:spacing w:after="80" w:before="160"/>
      </w:pPr>
      <w:r>
        <w:rPr>
          <w:rFonts w:ascii="Arial" w:cs="Arial" w:eastAsia="Arial" w:hAnsi="Arial"/>
          <w:b/>
          <w:bCs/>
          <w:sz w:val="22"/>
          <w:szCs w:val="22"/>
        </w:rPr>
        <w:t xml:space="preserve">7. Encoding de Variables Categóricas</w:t>
      </w:r>
    </w:p>
    <w:p>
      <w:pPr>
        <w:spacing w:after="100" w:before="0"/>
        <w:jc w:val="both"/>
      </w:pPr>
      <w:r>
        <w:rPr>
          <w:rFonts w:ascii="Arial" w:cs="Arial" w:eastAsia="Arial" w:hAnsi="Arial"/>
          <w:sz w:val="20"/>
          <w:szCs w:val="20"/>
        </w:rPr>
        <w:t xml:space="preserve">La columna Country contiene 38 valores únicos. Para ciertos análisis es necesario representar esta información de forma numérica. Investiga y aplica las dos estrategias principales: Label Encoding y One-Hot Encoding. Compara el resultado de ambas y reflexiona sobre cuál es más apropiada para esta variable.</w:t>
      </w:r>
    </w:p>
    <w:p>
      <w:pPr>
        <w:spacing w:after="100" w:before="0"/>
        <w:jc w:val="both"/>
      </w:pPr>
      <w:r>
        <w:rPr>
          <w:rFonts w:ascii="Arial" w:cs="Arial" w:eastAsia="Arial" w:hAnsi="Arial"/>
          <w:b/>
          <w:bCs/>
          <w:sz w:val="20"/>
          <w:szCs w:val="20"/>
        </w:rPr>
        <w:t xml:space="preserve">Preguntas guía:</w:t>
      </w:r>
    </w:p>
    <w:p>
      <w:pPr>
        <w:pStyle w:val="ListParagraph"/>
        <w:numPr>
          <w:ilvl w:val="0"/>
          <w:numId w:val="2"/>
        </w:numPr>
        <w:spacing w:after="60" w:before="0"/>
      </w:pPr>
      <w:r>
        <w:rPr>
          <w:rFonts w:ascii="Arial" w:cs="Arial" w:eastAsia="Arial" w:hAnsi="Arial"/>
          <w:i/>
          <w:iCs/>
          <w:sz w:val="20"/>
          <w:szCs w:val="20"/>
        </w:rPr>
        <w:t xml:space="preserve">¿Por qué el One-Hot Encoding genera tantas columnas nuevas para Country?</w:t>
      </w:r>
    </w:p>
    <w:p>
      <w:pPr>
        <w:pStyle w:val="ListParagraph"/>
        <w:numPr>
          <w:ilvl w:val="0"/>
          <w:numId w:val="2"/>
        </w:numPr>
        <w:spacing w:after="60" w:before="0"/>
      </w:pPr>
      <w:r>
        <w:rPr>
          <w:rFonts w:ascii="Arial" w:cs="Arial" w:eastAsia="Arial" w:hAnsi="Arial"/>
          <w:i/>
          <w:iCs/>
          <w:sz w:val="20"/>
          <w:szCs w:val="20"/>
        </w:rPr>
        <w:t xml:space="preserve">¿En qué situación preferirías Label Encoding sobre One-Hot? Da un ejemplo concreto.</w:t>
      </w:r>
    </w:p>
    <w:p>
      <w:pPr>
        <w:pStyle w:val="ListParagraph"/>
        <w:numPr>
          <w:ilvl w:val="0"/>
          <w:numId w:val="2"/>
        </w:numPr>
        <w:spacing w:after="60" w:before="0"/>
      </w:pPr>
      <w:r>
        <w:rPr>
          <w:rFonts w:ascii="Arial" w:cs="Arial" w:eastAsia="Arial" w:hAnsi="Arial"/>
          <w:i/>
          <w:iCs/>
          <w:sz w:val="20"/>
          <w:szCs w:val="20"/>
        </w:rPr>
        <w:t xml:space="preserve">¿Cuál estrategia usarías para Country en este dataset y por qué?</w:t>
      </w:r>
    </w:p>
    <w:p>
      <w:pPr>
        <w:pStyle w:val="Heading2"/>
        <w:spacing w:after="80" w:before="160"/>
      </w:pPr>
      <w:r>
        <w:rPr>
          <w:rFonts w:ascii="Arial" w:cs="Arial" w:eastAsia="Arial" w:hAnsi="Arial"/>
          <w:b/>
          <w:bCs/>
          <w:sz w:val="22"/>
          <w:szCs w:val="22"/>
        </w:rPr>
        <w:t xml:space="preserve">8. Análisis de Correlación e Insights</w:t>
      </w:r>
    </w:p>
    <w:p>
      <w:pPr>
        <w:spacing w:after="100" w:before="0"/>
        <w:jc w:val="both"/>
      </w:pPr>
      <w:r>
        <w:rPr>
          <w:rFonts w:ascii="Arial" w:cs="Arial" w:eastAsia="Arial" w:hAnsi="Arial"/>
          <w:sz w:val="20"/>
          <w:szCs w:val="20"/>
        </w:rPr>
        <w:t xml:space="preserve">Explora relaciones entre variables numéricas con una matriz de correlación y visualiza los patrones más relevantes del dataset (distribución por país, tendencias temporales, relación entre cantidad y precio). Sintetiza al menos </w:t>
      </w:r>
      <w:r>
        <w:rPr>
          <w:rFonts w:ascii="Arial" w:cs="Arial" w:eastAsia="Arial" w:hAnsi="Arial"/>
          <w:b/>
          <w:bCs/>
          <w:sz w:val="20"/>
          <w:szCs w:val="20"/>
        </w:rPr>
        <w:t xml:space="preserve">3 insights accionables</w:t>
      </w:r>
      <w:r>
        <w:rPr>
          <w:rFonts w:ascii="Arial" w:cs="Arial" w:eastAsia="Arial" w:hAnsi="Arial"/>
          <w:sz w:val="20"/>
          <w:szCs w:val="20"/>
        </w:rPr>
        <w:t xml:space="preserve">, cada uno respaldado por una gráfica o tabla y con una recomendación concreta para la empresa.</w:t>
      </w:r>
    </w:p>
    <w:p>
      <w:pPr>
        <w:spacing w:after="100" w:before="0"/>
        <w:jc w:val="both"/>
      </w:pPr>
      <w:r>
        <w:rPr>
          <w:rFonts w:ascii="Arial" w:cs="Arial" w:eastAsia="Arial" w:hAnsi="Arial"/>
          <w:b/>
          <w:bCs/>
          <w:sz w:val="20"/>
          <w:szCs w:val="20"/>
        </w:rPr>
        <w:t xml:space="preserve">Estructura de cada insight:</w:t>
      </w:r>
    </w:p>
    <w:p>
      <w:pPr>
        <w:pStyle w:val="ListParagraph"/>
        <w:numPr>
          <w:ilvl w:val="0"/>
          <w:numId w:val="3"/>
        </w:numPr>
        <w:spacing w:after="60" w:before="0"/>
      </w:pPr>
      <w:r>
        <w:rPr>
          <w:rFonts w:ascii="Arial" w:cs="Arial" w:eastAsia="Arial" w:hAnsi="Arial"/>
          <w:b/>
          <w:bCs/>
          <w:sz w:val="20"/>
          <w:szCs w:val="20"/>
        </w:rPr>
        <w:t xml:space="preserve">Hallazgo:</w:t>
      </w:r>
      <w:r>
        <w:rPr>
          <w:rFonts w:ascii="Arial" w:cs="Arial" w:eastAsia="Arial" w:hAnsi="Arial"/>
          <w:sz w:val="20"/>
          <w:szCs w:val="20"/>
        </w:rPr>
        <w:t xml:space="preserve"> qué observaste (1-2 líneas).</w:t>
      </w:r>
    </w:p>
    <w:p>
      <w:pPr>
        <w:pStyle w:val="ListParagraph"/>
        <w:numPr>
          <w:ilvl w:val="0"/>
          <w:numId w:val="3"/>
        </w:numPr>
        <w:spacing w:after="60" w:before="0"/>
      </w:pPr>
      <w:r>
        <w:rPr>
          <w:rFonts w:ascii="Arial" w:cs="Arial" w:eastAsia="Arial" w:hAnsi="Arial"/>
          <w:b/>
          <w:bCs/>
          <w:sz w:val="20"/>
          <w:szCs w:val="20"/>
        </w:rPr>
        <w:t xml:space="preserve">Evidencia:</w:t>
      </w:r>
      <w:r>
        <w:rPr>
          <w:rFonts w:ascii="Arial" w:cs="Arial" w:eastAsia="Arial" w:hAnsi="Arial"/>
          <w:sz w:val="20"/>
          <w:szCs w:val="20"/>
        </w:rPr>
        <w:t xml:space="preserve"> referencia a la gráfica o tabla que lo soporta.</w:t>
      </w:r>
    </w:p>
    <w:p>
      <w:pPr>
        <w:pStyle w:val="ListParagraph"/>
        <w:numPr>
          <w:ilvl w:val="0"/>
          <w:numId w:val="3"/>
        </w:numPr>
        <w:spacing w:after="60" w:before="0"/>
      </w:pPr>
      <w:r>
        <w:rPr>
          <w:rFonts w:ascii="Arial" w:cs="Arial" w:eastAsia="Arial" w:hAnsi="Arial"/>
          <w:b/>
          <w:bCs/>
          <w:sz w:val="20"/>
          <w:szCs w:val="20"/>
        </w:rPr>
        <w:t xml:space="preserve">Recomendación:</w:t>
      </w:r>
      <w:r>
        <w:rPr>
          <w:rFonts w:ascii="Arial" w:cs="Arial" w:eastAsia="Arial" w:hAnsi="Arial"/>
          <w:sz w:val="20"/>
          <w:szCs w:val="20"/>
        </w:rPr>
        <w:t xml:space="preserve"> qué acción tomaría la empresa con base en ese hallazgo.</w:t>
      </w:r>
    </w:p>
    <w:p>
      <w:pPr>
        <w:spacing w:after="120" w:before="120"/>
      </w:pPr>
    </w:p>
    <w:p>
      <w:pPr>
        <w:pBdr>
          <w:bottom w:val="single" w:color="333333" w:sz="6" w:space="1"/>
        </w:pBdr>
        <w:spacing w:after="80" w:before="80"/>
      </w:pPr>
    </w:p>
    <w:p>
      <w:pPr>
        <w:pStyle w:val="Heading1"/>
        <w:spacing w:after="100" w:before="200"/>
      </w:pPr>
      <w:r>
        <w:rPr>
          <w:rFonts w:ascii="Arial" w:cs="Arial" w:eastAsia="Arial" w:hAnsi="Arial"/>
          <w:b/>
          <w:bCs/>
          <w:sz w:val="24"/>
          <w:szCs w:val="24"/>
        </w:rPr>
        <w:t xml:space="preserve">Entregable</w:t>
      </w:r>
    </w:p>
    <w:p>
      <w:pPr>
        <w:spacing w:after="100" w:before="0"/>
        <w:jc w:val="both"/>
      </w:pPr>
      <w:r>
        <w:rPr>
          <w:rFonts w:ascii="Arial" w:cs="Arial" w:eastAsia="Arial" w:hAnsi="Arial"/>
          <w:sz w:val="20"/>
          <w:szCs w:val="20"/>
        </w:rPr>
        <w:t xml:space="preserve">Libreta de Google Colab (.ipynb) con los 8 pasos resueltos, incluyendo el código ejecutado, las visualizaciones generadas y las respuestas a todas las preguntas guía en celdas de texto. La libreta debe ser </w:t>
      </w:r>
      <w:r>
        <w:rPr>
          <w:rFonts w:ascii="Arial" w:cs="Arial" w:eastAsia="Arial" w:hAnsi="Arial"/>
          <w:b/>
          <w:bCs/>
          <w:sz w:val="20"/>
          <w:szCs w:val="20"/>
        </w:rPr>
        <w:t xml:space="preserve">reproducible</w:t>
      </w:r>
      <w:r>
        <w:rPr>
          <w:rFonts w:ascii="Arial" w:cs="Arial" w:eastAsia="Arial" w:hAnsi="Arial"/>
          <w:sz w:val="20"/>
          <w:szCs w:val="20"/>
        </w:rPr>
        <w:t xml:space="preserve">: cualquier persona con el enlace debe poder ejecutarla de inicio a fin sin errores, sin modificar ninguna celda de código.</w:t>
      </w:r>
    </w:p>
    <w:p>
      <w:pPr>
        <w:spacing w:after="120" w:before="160"/>
      </w:pPr>
    </w:p>
    <w:p>
      <w:pPr>
        <w:spacing w:after="40" w:before="0"/>
        <w:jc w:val="right"/>
      </w:pPr>
      <w:r>
        <w:rPr>
          <w:rFonts w:ascii="Arial" w:cs="Arial" w:eastAsia="Arial" w:hAnsi="Arial"/>
          <w:sz w:val="20"/>
          <w:szCs w:val="20"/>
        </w:rPr>
        <w:t xml:space="preserve">Dr. Omar Jehovani López Orozco</w:t>
      </w:r>
    </w:p>
    <w:p>
      <w:pPr>
        <w:spacing w:after="0" w:before="0"/>
        <w:jc w:val="right"/>
      </w:pPr>
      <w:r>
        <w:rPr>
          <w:rFonts w:ascii="Arial" w:cs="Arial" w:eastAsia="Arial" w:hAnsi="Arial"/>
          <w:sz w:val="20"/>
          <w:szCs w:val="20"/>
        </w:rPr>
        <w:t xml:space="preserve">Enero – Febrero 2026</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color w:val="000000"/>
      <w:sz w:val="24"/>
      <w:szCs w:val="24"/>
    </w:rPr>
  </w:style>
  <w:style w:type="paragraph" w:styleId="Heading2">
    <w:name w:val="Heading 2"/>
    <w:basedOn w:val="Normal"/>
    <w:next w:val="Normal"/>
    <w:qFormat/>
    <w:pPr>
      <w:spacing w:after="80" w:before="160"/>
      <w:outlineLvl w:val="1"/>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2026-06-19T00:02:14.603Z</dcterms:created>
  <dcterms:modified xsi:type="dcterms:W3CDTF">2026-06-19T00:02:14.603Z</dcterms:modified>
</cp:coreProperties>
</file>

<file path=docProps/custom.xml><?xml version="1.0" encoding="utf-8"?>
<Properties xmlns="http://schemas.openxmlformats.org/officeDocument/2006/custom-properties" xmlns:vt="http://schemas.openxmlformats.org/officeDocument/2006/docPropsVTypes"/>
</file>