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doanh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đêm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</w:p>
    <w:p w:rsidR="002A6D24" w:rsidRPr="002A6D24" w:rsidRDefault="001B2C73" w:rsidP="001B2C7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ích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</w:t>
      </w:r>
      <w:bookmarkStart w:id="0" w:name="_GoBack"/>
      <w:bookmarkEnd w:id="0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Style w:val="TableGrid"/>
        <w:tblW w:w="9669" w:type="dxa"/>
        <w:jc w:val="center"/>
        <w:tblLook w:val="04A0" w:firstRow="1" w:lastRow="0" w:firstColumn="1" w:lastColumn="0" w:noHBand="0" w:noVBand="1"/>
      </w:tblPr>
      <w:tblGrid>
        <w:gridCol w:w="985"/>
        <w:gridCol w:w="1573"/>
        <w:gridCol w:w="1067"/>
        <w:gridCol w:w="705"/>
        <w:gridCol w:w="712"/>
        <w:gridCol w:w="701"/>
        <w:gridCol w:w="799"/>
        <w:gridCol w:w="791"/>
        <w:gridCol w:w="799"/>
        <w:gridCol w:w="878"/>
        <w:gridCol w:w="659"/>
      </w:tblGrid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r w:rsidRPr="000272C7">
              <w:rPr>
                <w:sz w:val="20"/>
              </w:rPr>
              <w:t>TT</w:t>
            </w:r>
          </w:p>
        </w:tc>
        <w:tc>
          <w:tcPr>
            <w:tcW w:w="1573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Họ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và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tên</w:t>
            </w:r>
            <w:proofErr w:type="spellEnd"/>
          </w:p>
        </w:tc>
        <w:tc>
          <w:tcPr>
            <w:tcW w:w="1067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Chức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vụ</w:t>
            </w:r>
            <w:proofErr w:type="spellEnd"/>
            <w:r w:rsidRPr="000272C7">
              <w:rPr>
                <w:sz w:val="20"/>
              </w:rPr>
              <w:t>/</w:t>
            </w:r>
            <w:proofErr w:type="spellStart"/>
            <w:r w:rsidRPr="000272C7">
              <w:rPr>
                <w:sz w:val="20"/>
              </w:rPr>
              <w:t>bộ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phận</w:t>
            </w:r>
            <w:proofErr w:type="spellEnd"/>
          </w:p>
        </w:tc>
        <w:tc>
          <w:tcPr>
            <w:tcW w:w="5385" w:type="dxa"/>
            <w:gridSpan w:val="7"/>
          </w:tcPr>
          <w:p w:rsid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trong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tuần</w:t>
            </w:r>
            <w:proofErr w:type="spellEnd"/>
          </w:p>
          <w:p w:rsidR="00535437" w:rsidRDefault="00535437" w:rsidP="000272C7">
            <w:pPr>
              <w:jc w:val="center"/>
              <w:rPr>
                <w:sz w:val="20"/>
              </w:rPr>
            </w:pPr>
          </w:p>
          <w:p w:rsidR="00535437" w:rsidRPr="000272C7" w:rsidRDefault="00535437" w:rsidP="005354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2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3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4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5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6  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7         CN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công</w:t>
            </w:r>
            <w:proofErr w:type="spellEnd"/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Trần Trọng Hiển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Giám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đốc</w:t>
            </w:r>
            <w:proofErr w:type="spellEnd"/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0,5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4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số</w:t>
            </w:r>
            <w:proofErr w:type="spellEnd"/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5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2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0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9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8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</w:tr>
    </w:tbl>
    <w:p w:rsidR="00D70C06" w:rsidRPr="000272C7" w:rsidRDefault="00D70C06" w:rsidP="000272C7">
      <w:pPr>
        <w:jc w:val="center"/>
        <w:rPr>
          <w:sz w:val="20"/>
        </w:rPr>
      </w:pPr>
    </w:p>
    <w:sectPr w:rsidR="00D70C06" w:rsidRPr="000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73"/>
    <w:rsid w:val="000272C7"/>
    <w:rsid w:val="00112FD5"/>
    <w:rsid w:val="001B2C73"/>
    <w:rsid w:val="001C2A65"/>
    <w:rsid w:val="002A6D24"/>
    <w:rsid w:val="00535437"/>
    <w:rsid w:val="00615B79"/>
    <w:rsid w:val="008813FB"/>
    <w:rsid w:val="00891CDD"/>
    <w:rsid w:val="00D70C06"/>
    <w:rsid w:val="00D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B2D"/>
  <w15:chartTrackingRefBased/>
  <w15:docId w15:val="{67D8EB2F-D5D8-4E18-83AF-DBDBBE91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C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Trần Trọng</dc:creator>
  <cp:keywords/>
  <dc:description/>
  <cp:lastModifiedBy>Hiển Trần Trọng</cp:lastModifiedBy>
  <cp:revision>10</cp:revision>
  <dcterms:created xsi:type="dcterms:W3CDTF">2022-08-14T16:18:00Z</dcterms:created>
  <dcterms:modified xsi:type="dcterms:W3CDTF">2022-08-17T03:56:00Z</dcterms:modified>
</cp:coreProperties>
</file>