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rFonts w:ascii="Arial" w:cs="Arial" w:eastAsia="Arial" w:hAnsi="Arial"/>
        </w:rPr>
      </w:pPr>
      <w:bookmarkStart w:colFirst="0" w:colLast="0" w:name="_np209ztjhxac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Move It OKRs</w:t>
      </w:r>
    </w:p>
    <w:tbl>
      <w:tblPr>
        <w:tblStyle w:val="Table1"/>
        <w:tblW w:w="10794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825"/>
        <w:gridCol w:w="105"/>
        <w:tblGridChange w:id="0">
          <w:tblGrid>
            <w:gridCol w:w="144"/>
            <w:gridCol w:w="576"/>
            <w:gridCol w:w="144"/>
            <w:gridCol w:w="9825"/>
            <w:gridCol w:w="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4285f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4285f4" w:val="clear"/>
                <w:rtl w:val="0"/>
              </w:rPr>
              <w:t xml:space="preserve"> O1 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4285f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Actively and meaningfully engage the public to generate buy-in and project support.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285f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  <w:rtl w:val="0"/>
              </w:rPr>
              <w:t xml:space="preserve"> KR1</w:t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 attendees to 12 public meetings focused on transit talks</w:t>
            </w:r>
          </w:p>
        </w:tc>
        <w:tc>
          <w:tcPr>
            <w:tcBorders>
              <w:top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  <w:rtl w:val="0"/>
              </w:rPr>
              <w:t xml:space="preserve"> KR2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75% of Wonder City residents surveyed before launch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 of community leaders participate in the community outreach program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ea4335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ea4335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ea4335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Make it easy to get around the greater Wonder City area via public transportation.</w:t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a4335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  <w:rtl w:val="0"/>
              </w:rPr>
              <w:t xml:space="preserve"> KR1</w:t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Busses on new lines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 ten minutes during peak hours.</w:t>
            </w:r>
          </w:p>
        </w:tc>
        <w:tc>
          <w:tcPr>
            <w:tcBorders>
              <w:top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  <w:rtl w:val="0"/>
              </w:rPr>
              <w:t xml:space="preserve"> KR2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most densely-populated sections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of Wonder City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(1,500–2,000 people per sq. mile)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have three bus stops per ten city blocks.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before="40" w:lineRule="auto"/>
              <w:jc w:val="center"/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ridership increases by 25% within three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fbbc0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fbbc04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fbbc04" w:val="clear"/>
                <w:rtl w:val="0"/>
              </w:rPr>
              <w:t xml:space="preserve"> O3 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fbbc0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Promote public transportation as a convenient alternative to driving.</w:t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bbc0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37400"/>
                <w:sz w:val="20"/>
                <w:szCs w:val="20"/>
                <w:shd w:fill="fef7e0" w:val="clear"/>
                <w:rtl w:val="0"/>
              </w:rPr>
              <w:t xml:space="preserve"> KR1</w:t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6,000 unique visitors to the WCTA online portal per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37400"/>
                <w:sz w:val="20"/>
                <w:szCs w:val="20"/>
                <w:shd w:fill="fef7e0" w:val="clear"/>
                <w:rtl w:val="0"/>
              </w:rPr>
              <w:t xml:space="preserve"> KR2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80% click-through rate from banner ads on social media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37400"/>
                <w:sz w:val="20"/>
                <w:szCs w:val="20"/>
                <w:shd w:fill="fef7e0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press pieces published in relevant print and online publications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34a853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34a85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34a853" w:val="clear"/>
                <w:rtl w:val="0"/>
              </w:rPr>
              <w:t xml:space="preserve"> O4 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34a853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a reliable and consistent public transportation service. </w:t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4a853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88038"/>
                <w:sz w:val="20"/>
                <w:szCs w:val="20"/>
                <w:shd w:fill="e6f4ea" w:val="clear"/>
                <w:rtl w:val="0"/>
              </w:rPr>
              <w:t xml:space="preserve"> KR1</w:t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 of new busses meet government safety standards at monthly inspections</w:t>
            </w:r>
          </w:p>
        </w:tc>
        <w:tc>
          <w:tcPr>
            <w:tcBorders>
              <w:top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88038"/>
                <w:sz w:val="20"/>
                <w:szCs w:val="20"/>
                <w:shd w:fill="e6f4ea" w:val="clear"/>
                <w:rtl w:val="0"/>
              </w:rPr>
              <w:t xml:space="preserve"> KR2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95% of new bus fleet operational at all times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after="0" w:before="40" w:lineRule="auto"/>
              <w:jc w:val="center"/>
              <w:rPr>
                <w:rFonts w:ascii="Arial" w:cs="Arial" w:eastAsia="Arial" w:hAnsi="Arial"/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88038"/>
                <w:sz w:val="20"/>
                <w:szCs w:val="20"/>
                <w:shd w:fill="e6f4ea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after="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Wait times decrease by 20% within two months of launch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 Text" w:cs="Google Sans Text" w:eastAsia="Google Sans Text" w:hAnsi="Google Sans Text"/>
        <w:color w:val="3c4043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480" w:lineRule="auto"/>
    </w:pPr>
    <w:rPr>
      <w:rFonts w:ascii="Google Sans" w:cs="Google Sans" w:eastAsia="Google Sans" w:hAnsi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Google Sans" w:cs="Google Sans" w:eastAsia="Google Sans" w:hAnsi="Google Sans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40" w:lineRule="auto"/>
    </w:pPr>
    <w:rPr>
      <w:b w:val="1"/>
      <w:color w:val="4285f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Google Sans" w:cs="Google Sans" w:eastAsia="Google Sans" w:hAnsi="Google Sans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right" w:pos="10800"/>
      </w:tabs>
      <w:spacing w:after="0" w:lineRule="auto"/>
    </w:pPr>
    <w:rPr>
      <w:rFonts w:ascii="Roboto Light" w:cs="Roboto Light" w:eastAsia="Roboto Light" w:hAnsi="Roboto Light"/>
      <w:color w:val="4285f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