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379D36FB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14EED">
        <w:rPr>
          <w:sz w:val="48"/>
          <w:szCs w:val="48"/>
        </w:rPr>
        <w:t>6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r>
              <w:t>Amany,Esraa,Hana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>
              <w:t xml:space="preserve">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 w:rsidR="00A44FD6">
              <w:t xml:space="preserve"> &amp;</w:t>
            </w:r>
            <w:r w:rsidR="00D24463">
              <w:t xml:space="preserve"> 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0CFB8413" w14:textId="2DA09B50" w:rsidR="00454EBD" w:rsidRDefault="00454EBD">
      <w:pPr>
        <w:spacing w:before="240" w:after="240"/>
      </w:pPr>
    </w:p>
    <w:p w14:paraId="05730576" w14:textId="28A53897" w:rsidR="00454EBD" w:rsidRDefault="00454EBD">
      <w:pPr>
        <w:spacing w:before="240" w:after="240"/>
      </w:pPr>
    </w:p>
    <w:p w14:paraId="6578BF96" w14:textId="645AC950" w:rsidR="00454EBD" w:rsidRDefault="00454EBD">
      <w:pPr>
        <w:spacing w:before="240" w:after="240"/>
      </w:pPr>
    </w:p>
    <w:p w14:paraId="09E9EA84" w14:textId="6DD6855E" w:rsidR="00454EBD" w:rsidRDefault="00454EBD">
      <w:pPr>
        <w:spacing w:before="240" w:after="240"/>
      </w:pPr>
    </w:p>
    <w:p w14:paraId="59C768EC" w14:textId="521116A7" w:rsidR="00454EBD" w:rsidRDefault="00454EBD">
      <w:pPr>
        <w:spacing w:before="240" w:after="240"/>
      </w:pPr>
    </w:p>
    <w:p w14:paraId="749ED43D" w14:textId="77777777" w:rsidR="00454EBD" w:rsidRDefault="00454EBD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EndPr/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E4135F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E4135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E4135F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E4135F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E4135F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E4135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E4135F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lastRenderedPageBreak/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</w:t>
      </w: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an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proofErr w:type="gramStart"/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</w:t>
      </w:r>
      <w:proofErr w:type="gramEnd"/>
      <w:r w:rsidR="003A0D2C">
        <w:rPr>
          <w:rFonts w:ascii="Raleway Medium" w:eastAsia="Raleway Medium" w:hAnsi="Raleway Medium" w:cs="Raleway Medium"/>
          <w:sz w:val="24"/>
          <w:szCs w:val="24"/>
        </w:rPr>
        <w:t>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Start w:id="12" w:name="_GoBack"/>
            <w:bookmarkEnd w:id="11"/>
            <w:bookmarkEnd w:id="12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27AE809E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F9462D">
              <w:rPr>
                <w:b/>
                <w:sz w:val="24"/>
                <w:szCs w:val="24"/>
              </w:rPr>
              <w:t>3</w:t>
            </w:r>
          </w:p>
          <w:p w14:paraId="18AD6575" w14:textId="7EB25BDD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 w:rsidR="00A2172E">
              <w:rPr>
                <w:rFonts w:ascii="Raleway Medium" w:eastAsia="Raleway Medium" w:hAnsi="Raleway Medium" w:cs="Raleway Medium"/>
                <w:sz w:val="24"/>
                <w:szCs w:val="24"/>
              </w:rPr>
              <w:t>chooses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46D66658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3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lastRenderedPageBreak/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client choose</w:t>
            </w:r>
            <w:r w:rsidR="00C2027E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3"/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4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4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5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5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While the client is inside the view account page, he/she can perform a transaction.</w:t>
      </w:r>
    </w:p>
    <w:p w14:paraId="35B8991F" w14:textId="2CC579A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>client must first choose the account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from.</w:t>
      </w:r>
    </w:p>
    <w:p w14:paraId="31ED0D07" w14:textId="5C9E4DF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choose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D57E7C0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6DD08705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6" w:name="_r8xhlqnr3nr6" w:colFirst="0" w:colLast="0"/>
      <w:bookmarkEnd w:id="16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3962D2AF" w14:textId="2F31BE01" w:rsidR="007A6446" w:rsidRPr="004F08A1" w:rsidRDefault="0029086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  <w:bookmarkStart w:id="17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7"/>
    </w:p>
    <w:p w14:paraId="37D7FE4F" w14:textId="4930BB97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37CA2">
        <w:rPr>
          <w:rFonts w:ascii="Raleway Medium" w:eastAsia="Raleway Medium" w:hAnsi="Raleway Medium" w:cs="Raleway Medium"/>
          <w:sz w:val="24"/>
          <w:szCs w:val="24"/>
        </w:rPr>
        <w:t>s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F46E3D">
        <w:rPr>
          <w:rFonts w:ascii="Raleway" w:eastAsia="Raleway" w:hAnsi="Raleway" w:cs="Raleway"/>
          <w:sz w:val="24"/>
          <w:szCs w:val="24"/>
        </w:rPr>
        <w:t>.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added automatically to the drop-down list containing the opened accounts for the </w:t>
      </w:r>
      <w:r w:rsidR="00EF764D">
        <w:rPr>
          <w:rFonts w:ascii="Raleway" w:eastAsia="Raleway" w:hAnsi="Raleway" w:cs="Raleway"/>
          <w:sz w:val="24"/>
          <w:szCs w:val="24"/>
        </w:rPr>
        <w:t>client.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8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8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>d</w:t>
      </w:r>
      <w:proofErr w:type="spellEnd"/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0D8113DD" w:rsidR="007A6446" w:rsidRDefault="002C155A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d new account, click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9" w:name="_hc9hwqcanbv9" w:colFirst="0" w:colLast="0"/>
      <w:bookmarkEnd w:id="19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20" w:name="_Toc131892070"/>
      <w:proofErr w:type="gramEnd"/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20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1" w:name="_Toc131892071"/>
      <w:r>
        <w:rPr>
          <w:b/>
          <w:color w:val="000000"/>
        </w:rPr>
        <w:t>2.3.5.2 Stimulus/Response Sequences</w:t>
      </w:r>
      <w:bookmarkEnd w:id="21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2A9FAB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2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3" w:name="_Toc131892073"/>
      <w:r>
        <w:rPr>
          <w:b/>
          <w:color w:val="000000"/>
        </w:rPr>
        <w:t>2.3.6.2 Stimulus/Response Sequences</w:t>
      </w:r>
      <w:bookmarkEnd w:id="23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D319F" w14:textId="77777777" w:rsidR="00E4135F" w:rsidRDefault="00E4135F">
      <w:pPr>
        <w:spacing w:line="240" w:lineRule="auto"/>
      </w:pPr>
      <w:r>
        <w:separator/>
      </w:r>
    </w:p>
  </w:endnote>
  <w:endnote w:type="continuationSeparator" w:id="0">
    <w:p w14:paraId="7E5F54A4" w14:textId="77777777" w:rsidR="00E4135F" w:rsidRDefault="00E41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11C0" w14:textId="7A58C94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29387D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3D3F6" w14:textId="530E0CA3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2938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D7428" w14:textId="77777777" w:rsidR="00E4135F" w:rsidRDefault="00E4135F">
      <w:pPr>
        <w:spacing w:line="240" w:lineRule="auto"/>
      </w:pPr>
      <w:r>
        <w:separator/>
      </w:r>
    </w:p>
  </w:footnote>
  <w:footnote w:type="continuationSeparator" w:id="0">
    <w:p w14:paraId="39B44E7D" w14:textId="77777777" w:rsidR="00E4135F" w:rsidRDefault="00E41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E1A74"/>
    <w:rsid w:val="000E33BD"/>
    <w:rsid w:val="000E76C1"/>
    <w:rsid w:val="00125FF0"/>
    <w:rsid w:val="00126E63"/>
    <w:rsid w:val="00137CA2"/>
    <w:rsid w:val="00153C9A"/>
    <w:rsid w:val="001955A5"/>
    <w:rsid w:val="001A6770"/>
    <w:rsid w:val="001B5A1F"/>
    <w:rsid w:val="001E4129"/>
    <w:rsid w:val="001E63CD"/>
    <w:rsid w:val="00200AB7"/>
    <w:rsid w:val="002773E4"/>
    <w:rsid w:val="00290869"/>
    <w:rsid w:val="0029387D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B738B"/>
    <w:rsid w:val="004C5C76"/>
    <w:rsid w:val="004D6AE4"/>
    <w:rsid w:val="004E4DA3"/>
    <w:rsid w:val="004F08A1"/>
    <w:rsid w:val="00503A00"/>
    <w:rsid w:val="005041F4"/>
    <w:rsid w:val="0056428C"/>
    <w:rsid w:val="005C67A3"/>
    <w:rsid w:val="005C7537"/>
    <w:rsid w:val="00622A46"/>
    <w:rsid w:val="00646DB7"/>
    <w:rsid w:val="006718F1"/>
    <w:rsid w:val="00683A21"/>
    <w:rsid w:val="00686A6D"/>
    <w:rsid w:val="006F4C2B"/>
    <w:rsid w:val="00741F7C"/>
    <w:rsid w:val="00775760"/>
    <w:rsid w:val="007767A0"/>
    <w:rsid w:val="007A6446"/>
    <w:rsid w:val="007D54CB"/>
    <w:rsid w:val="007D727C"/>
    <w:rsid w:val="0082613C"/>
    <w:rsid w:val="00846D03"/>
    <w:rsid w:val="008A707A"/>
    <w:rsid w:val="008B3E38"/>
    <w:rsid w:val="008D6782"/>
    <w:rsid w:val="008F35B5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4018"/>
    <w:rsid w:val="00A82FBF"/>
    <w:rsid w:val="00AB6E94"/>
    <w:rsid w:val="00AC0C23"/>
    <w:rsid w:val="00AD32F7"/>
    <w:rsid w:val="00AF319B"/>
    <w:rsid w:val="00B0543C"/>
    <w:rsid w:val="00B14EED"/>
    <w:rsid w:val="00B5656C"/>
    <w:rsid w:val="00B6453C"/>
    <w:rsid w:val="00B64AC6"/>
    <w:rsid w:val="00BA7828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4135F"/>
    <w:rsid w:val="00E50456"/>
    <w:rsid w:val="00E50953"/>
    <w:rsid w:val="00E60016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Windows User</cp:lastModifiedBy>
  <cp:revision>57</cp:revision>
  <dcterms:created xsi:type="dcterms:W3CDTF">2023-04-08T22:18:00Z</dcterms:created>
  <dcterms:modified xsi:type="dcterms:W3CDTF">2023-04-26T22:07:00Z</dcterms:modified>
</cp:coreProperties>
</file>