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B365D"/>
          <w:sz w:val="26"/>
        </w:rPr>
        <w:t>UNIVERSIDAD POPULAR DEL CESAR</w:t>
        <w:br/>
        <w:t>FACULTAD DE INGENIERÍAS Y TECNOLÓGICAS</w:t>
        <w:br/>
        <w:t>PROGRAMA DE INGENIERÍA DE SISTEMAS</w:t>
      </w:r>
    </w:p>
    <w:p>
      <w:pPr>
        <w:jc w:val="center"/>
      </w:pPr>
      <w:r>
        <w:rPr>
          <w:color w:val="3B82F6"/>
        </w:rPr>
        <w:t>____________________________________________________</w:t>
      </w:r>
    </w:p>
    <w:p>
      <w:pPr>
        <w:spacing w:before="720" w:after="240"/>
        <w:jc w:val="center"/>
      </w:pPr>
      <w:r>
        <w:rPr>
          <w:rFonts w:ascii="Calibri" w:hAnsi="Calibri"/>
          <w:b/>
          <w:color w:val="0F172A"/>
          <w:sz w:val="44"/>
        </w:rPr>
        <w:t>PROYECTO PEA-i — PARCIAL 2</w:t>
        <w:br/>
      </w:r>
      <w:r>
        <w:rPr>
          <w:i/>
          <w:color w:val="475569"/>
          <w:sz w:val="26"/>
        </w:rPr>
        <w:t>Plataforma para la Evaluación y Analítica de la Investigación</w:t>
        <w:br/>
        <w:t>Especificación de Requisitos IEEE 830 y Modelo de Medición MinCiencias</w:t>
      </w:r>
    </w:p>
    <w:p>
      <w:pPr>
        <w:spacing w:before="1200" w:after="120"/>
        <w:jc w:val="center"/>
      </w:pPr>
      <w:r>
        <w:rPr>
          <w:b/>
          <w:color w:val="1B365D"/>
          <w:sz w:val="22"/>
        </w:rPr>
        <w:t>AUTORES E INTEGRANTES:</w:t>
        <w:br/>
      </w:r>
      <w:r>
        <w:rPr>
          <w:color w:val="1E293B"/>
          <w:sz w:val="22"/>
        </w:rPr>
        <w:t>Esteban Raúl Vergara Jaime — C.C. 1065595117</w:t>
        <w:br/>
        <w:t>Luis Eduardo Gómez Rosales — C.C. 1118821800</w:t>
        <w:br/>
        <w:br/>
        <w:t>Asignatura: Estructura de Datos (Grupo 05)</w:t>
        <w:br/>
        <w:t>Docente Titular: Ing. Adith Pérez</w:t>
        <w:br/>
      </w:r>
    </w:p>
    <w:p>
      <w:pPr>
        <w:spacing w:before="1200"/>
        <w:jc w:val="center"/>
      </w:pPr>
      <w:r>
        <w:rPr>
          <w:color w:val="64748B"/>
          <w:sz w:val="20"/>
        </w:rPr>
        <w:t>Valledupar, Cesar, Colombia</w:t>
        <w:br/>
        <w:t>Octubre de 2026</w:t>
      </w:r>
    </w:p>
    <w:p>
      <w:r>
        <w:br w:type="page"/>
      </w:r>
    </w:p>
    <w:p>
      <w:pPr>
        <w:pStyle w:val="Heading1"/>
      </w:pPr>
      <w:r>
        <w:rPr>
          <w:rFonts w:ascii="Calibri" w:hAnsi="Calibri"/>
          <w:color w:val="1B365D"/>
        </w:rPr>
        <w:t>1. Introducción y Objetivos</w:t>
      </w:r>
    </w:p>
    <w:p>
      <w:pPr>
        <w:spacing w:line="276" w:lineRule="auto" w:after="160"/>
      </w:pPr>
      <w:r>
        <w:t>El proyecto PEA-i (Plataforma para la Evaluación y Analítica de la Investigación) nace como una solución integral para la estructuración, procesamiento y análisis computacional de la información científica de instituciones de educación superior. En el marco del segundo corte de la asignatura Estructura de Datos, se aborda la transición desde un sistema base de gestión jerárquica hacia una plataforma analítica avanzada capaz de aplicar modelos métricos reales, concretamente el Modelo de Medición de Grupos de Investigación y Reconocimiento de Investigadores del Ministerio de Ciencia, Tecnología e Innovación de Colombia (MinCiencias).</w:t>
      </w:r>
    </w:p>
    <w:p>
      <w:pPr>
        <w:pStyle w:val="Heading2"/>
      </w:pPr>
      <w:r>
        <w:t>1.1. Objetivo General</w:t>
      </w:r>
    </w:p>
    <w:p>
      <w:pPr>
        <w:spacing w:line="276" w:lineRule="auto" w:after="160"/>
      </w:pPr>
      <w:r>
        <w:t>Diseñar, implementar y validar un ecosistema dual de software en Python y C++ basado en estructuras de datos dinámicas enlazadas manuales (Multilistas jerárquicas, Pilas LIFO y Colas FIFO), que permita gestionar el portafolio científico de una institución y calcular con exactitud matemática el Indicador de Producción Científica de MinCiencias con soporte para filtros temporales, exclusiones controladas y persistencia compatible.</w:t>
      </w:r>
    </w:p>
    <w:p>
      <w:pPr>
        <w:pStyle w:val="Heading2"/>
      </w:pPr>
      <w:r>
        <w:t>1.2. Objetivos Específicos</w:t>
      </w:r>
    </w:p>
    <w:p>
      <w:pPr>
        <w:pStyle w:val="ListBullet"/>
        <w:spacing w:line="276" w:lineRule="auto" w:after="80"/>
      </w:pPr>
      <w:r>
        <w:rPr>
          <w:b/>
          <w:color w:val="1B365D"/>
        </w:rPr>
        <w:t xml:space="preserve">Implementación de Multilista Dinámica: </w:t>
      </w:r>
      <w:r>
        <w:t>Estructurar en memoria el modelo jerárquico no lineal Grupo ➔ Investigador ➔ Productos mediante punteros explícitos en C++ y referencias enlazadas en Python, garantizando cero redundancia de datos.</w:t>
      </w:r>
    </w:p>
    <w:p>
      <w:pPr>
        <w:pStyle w:val="ListBullet"/>
        <w:spacing w:line="276" w:lineRule="auto" w:after="80"/>
      </w:pPr>
      <w:r>
        <w:rPr>
          <w:b/>
          <w:color w:val="1B365D"/>
        </w:rPr>
        <w:t xml:space="preserve">Integración de Estructuras Lineales: </w:t>
      </w:r>
      <w:r>
        <w:t>Implementar una Pila (Stack LIFO) para auditoría y reversión de operaciones de eliminación (Undo), y una Cola (Queue FIFO) para la gestión y validación secuencial de productos académicos.</w:t>
      </w:r>
    </w:p>
    <w:p>
      <w:pPr>
        <w:pStyle w:val="ListBullet"/>
        <w:spacing w:line="276" w:lineRule="auto" w:after="80"/>
      </w:pPr>
      <w:r>
        <w:rPr>
          <w:b/>
          <w:color w:val="1B365D"/>
        </w:rPr>
        <w:t xml:space="preserve">Motor de Cálculo Paramétrico: </w:t>
      </w:r>
      <w:r>
        <w:t>Modelar la fórmula ponderada de producción científica MinCiencias incorporando pesos relativos, validaciones de estado, descarte de registros inactivos y filtrado por ventanas de tiempo.</w:t>
      </w:r>
    </w:p>
    <w:p>
      <w:pPr>
        <w:pStyle w:val="ListBullet"/>
        <w:spacing w:line="276" w:lineRule="auto" w:after="80"/>
      </w:pPr>
      <w:r>
        <w:rPr>
          <w:b/>
          <w:color w:val="1B365D"/>
        </w:rPr>
        <w:t xml:space="preserve">Interfaz de Usuario y Analítica: </w:t>
      </w:r>
      <w:r>
        <w:t>Desarrollar una interfaz gráfica moderna (Python con CustomTkinter) con tarjetas KPI interactivas, tablas de desglose detalladas y feedback visual; complementada con una interfaz de terminal estructurada en C++17.</w:t>
      </w:r>
    </w:p>
    <w:p>
      <w:pPr>
        <w:pStyle w:val="ListBullet"/>
        <w:spacing w:line="276" w:lineRule="auto" w:after="80"/>
      </w:pPr>
      <w:r>
        <w:rPr>
          <w:b/>
          <w:color w:val="1B365D"/>
        </w:rPr>
        <w:t xml:space="preserve">Interoperabilidad y Persistencia: </w:t>
      </w:r>
      <w:r>
        <w:t>Garantizar la consistencia de datos entre ambos ecosistemas tecnológicos mediante esquemas estructurados en JSON y CSV.</w:t>
      </w:r>
    </w:p>
    <w:p>
      <w:r>
        <w:br w:type="page"/>
      </w:r>
    </w:p>
    <w:p>
      <w:pPr>
        <w:pStyle w:val="Heading1"/>
      </w:pPr>
      <w:r>
        <w:rPr>
          <w:rFonts w:ascii="Calibri" w:hAnsi="Calibri"/>
          <w:color w:val="1B365D"/>
        </w:rPr>
        <w:t>2. Especificación de Requisitos de Software (IEEE 830)</w:t>
      </w:r>
    </w:p>
    <w:p>
      <w:pPr>
        <w:spacing w:line="276" w:lineRule="auto" w:after="160"/>
      </w:pPr>
      <w:r>
        <w:t>A continuación se presenta el resumen técnico de los requisitos funcionales y no funcionales especificados bajo la norma IEEE 830-1998 para el Parcial 2 del proyecto PEA-i.</w:t>
      </w:r>
    </w:p>
    <w:p>
      <w:pPr>
        <w:pStyle w:val="Heading2"/>
      </w:pPr>
      <w:r>
        <w:t>2.1. Requisitos Funcionales Principales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00" w:type="dxa"/>
              <w:bottom w:w="100" w:type="dxa"/>
              <w:left w:w="120" w:type="dxa"/>
              <w:right w:w="120" w:type="dxa"/>
            </w:tcMar>
          </w:tcPr>
          <w:p>
            <w:pPr>
              <w:jc w:val="center"/>
            </w:pPr>
            <w:r>
              <w:rPr>
                <w:b/>
                <w:color w:val="FFFFFF"/>
                <w:sz w:val="20"/>
              </w:rPr>
              <w:t>Código</w:t>
            </w:r>
          </w:p>
        </w:tc>
        <w:tc>
          <w:tcPr>
            <w:tcW w:type="dxa" w:w="2880"/>
            <w:shd w:fill="1B365D"/>
            <w:tcMar>
              <w:top w:w="100" w:type="dxa"/>
              <w:bottom w:w="100" w:type="dxa"/>
              <w:left w:w="120" w:type="dxa"/>
              <w:right w:w="120" w:type="dxa"/>
            </w:tcMar>
          </w:tcPr>
          <w:p>
            <w:pPr>
              <w:jc w:val="center"/>
            </w:pPr>
            <w:r>
              <w:rPr>
                <w:b/>
                <w:color w:val="FFFFFF"/>
                <w:sz w:val="20"/>
              </w:rPr>
              <w:t>Requisito Funcional</w:t>
            </w:r>
          </w:p>
        </w:tc>
        <w:tc>
          <w:tcPr>
            <w:tcW w:type="dxa" w:w="5040"/>
            <w:shd w:fill="1B365D"/>
            <w:tcMar>
              <w:top w:w="100" w:type="dxa"/>
              <w:bottom w:w="100" w:type="dxa"/>
              <w:left w:w="120" w:type="dxa"/>
              <w:right w:w="120" w:type="dxa"/>
            </w:tcMar>
          </w:tcPr>
          <w:p>
            <w:pPr>
              <w:jc w:val="center"/>
            </w:pPr>
            <w:r>
              <w:rPr>
                <w:b/>
                <w:color w:val="FFFFFF"/>
                <w:sz w:val="20"/>
              </w:rPr>
              <w:t>Descripción y Criterio de Aceptación</w:t>
            </w:r>
          </w:p>
        </w:tc>
      </w:tr>
      <w:tr>
        <w:tc>
          <w:tcPr>
            <w:tcW w:type="dxa" w:w="1440"/>
            <w:shd w:fill="FFFFFF"/>
            <w:tcMar>
              <w:top w:w="80" w:type="dxa"/>
              <w:bottom w:w="80" w:type="dxa"/>
              <w:left w:w="100" w:type="dxa"/>
              <w:right w:w="100" w:type="dxa"/>
            </w:tcMar>
          </w:tcPr>
          <w:p>
            <w:pPr>
              <w:spacing w:line="264" w:lineRule="auto"/>
              <w:jc w:val="center"/>
            </w:pPr>
            <w:r>
              <w:rPr>
                <w:b/>
                <w:sz w:val="19"/>
              </w:rPr>
              <w:t>RF-01</w:t>
            </w:r>
          </w:p>
        </w:tc>
        <w:tc>
          <w:tcPr>
            <w:tcW w:type="dxa" w:w="2880"/>
            <w:shd w:fill="FFFFFF"/>
            <w:tcMar>
              <w:top w:w="80" w:type="dxa"/>
              <w:bottom w:w="80" w:type="dxa"/>
              <w:left w:w="100" w:type="dxa"/>
              <w:right w:w="100" w:type="dxa"/>
            </w:tcMar>
          </w:tcPr>
          <w:p>
            <w:pPr>
              <w:spacing w:line="264" w:lineRule="auto"/>
            </w:pPr>
            <w:r>
              <w:rPr>
                <w:b/>
                <w:sz w:val="19"/>
              </w:rPr>
              <w:t>Multilista Jerárquica</w:t>
            </w:r>
          </w:p>
        </w:tc>
        <w:tc>
          <w:tcPr>
            <w:tcW w:type="dxa" w:w="5040"/>
            <w:shd w:fill="FFFFFF"/>
            <w:tcMar>
              <w:top w:w="80" w:type="dxa"/>
              <w:bottom w:w="80" w:type="dxa"/>
              <w:left w:w="100" w:type="dxa"/>
              <w:right w:w="100" w:type="dxa"/>
            </w:tcMar>
          </w:tcPr>
          <w:p>
            <w:pPr>
              <w:spacing w:line="264" w:lineRule="auto"/>
            </w:pPr>
            <w:r>
              <w:rPr>
                <w:sz w:val="19"/>
              </w:rPr>
              <w:t>Modelo de datos en memoria dinámica donde cada nodo Grupo apunta a su lista de Investigadores, y cada Investigador a su sublista de Productos.</w:t>
            </w:r>
          </w:p>
        </w:tc>
      </w:tr>
      <w:tr>
        <w:tc>
          <w:tcPr>
            <w:tcW w:type="dxa" w:w="1440"/>
            <w:shd w:fill="F8FAFC"/>
            <w:tcMar>
              <w:top w:w="80" w:type="dxa"/>
              <w:bottom w:w="80" w:type="dxa"/>
              <w:left w:w="100" w:type="dxa"/>
              <w:right w:w="100" w:type="dxa"/>
            </w:tcMar>
          </w:tcPr>
          <w:p>
            <w:pPr>
              <w:spacing w:line="264" w:lineRule="auto"/>
              <w:jc w:val="center"/>
            </w:pPr>
            <w:r>
              <w:rPr>
                <w:b/>
                <w:sz w:val="19"/>
              </w:rPr>
              <w:t>RF-02</w:t>
            </w:r>
          </w:p>
        </w:tc>
        <w:tc>
          <w:tcPr>
            <w:tcW w:type="dxa" w:w="2880"/>
            <w:shd w:fill="F8FAFC"/>
            <w:tcMar>
              <w:top w:w="80" w:type="dxa"/>
              <w:bottom w:w="80" w:type="dxa"/>
              <w:left w:w="100" w:type="dxa"/>
              <w:right w:w="100" w:type="dxa"/>
            </w:tcMar>
          </w:tcPr>
          <w:p>
            <w:pPr>
              <w:spacing w:line="264" w:lineRule="auto"/>
            </w:pPr>
            <w:r>
              <w:rPr>
                <w:b/>
                <w:sz w:val="19"/>
              </w:rPr>
              <w:t>Atributos de Ponderación</w:t>
            </w:r>
          </w:p>
        </w:tc>
        <w:tc>
          <w:tcPr>
            <w:tcW w:type="dxa" w:w="5040"/>
            <w:shd w:fill="F8FAFC"/>
            <w:tcMar>
              <w:top w:w="80" w:type="dxa"/>
              <w:bottom w:w="80" w:type="dxa"/>
              <w:left w:w="100" w:type="dxa"/>
              <w:right w:w="100" w:type="dxa"/>
            </w:tcMar>
          </w:tcPr>
          <w:p>
            <w:pPr>
              <w:spacing w:line="264" w:lineRule="auto"/>
            </w:pPr>
            <w:r>
              <w:rPr>
                <w:sz w:val="19"/>
              </w:rPr>
              <w:t>Cada Producto almacena 'peso_relativo' (coeficiente según taxonomía) y 'puntaje' (calificación efectiva calculada considerando validación).</w:t>
            </w:r>
          </w:p>
        </w:tc>
      </w:tr>
      <w:tr>
        <w:tc>
          <w:tcPr>
            <w:tcW w:type="dxa" w:w="1440"/>
            <w:shd w:fill="FFFFFF"/>
            <w:tcMar>
              <w:top w:w="80" w:type="dxa"/>
              <w:bottom w:w="80" w:type="dxa"/>
              <w:left w:w="100" w:type="dxa"/>
              <w:right w:w="100" w:type="dxa"/>
            </w:tcMar>
          </w:tcPr>
          <w:p>
            <w:pPr>
              <w:spacing w:line="264" w:lineRule="auto"/>
              <w:jc w:val="center"/>
            </w:pPr>
            <w:r>
              <w:rPr>
                <w:b/>
                <w:sz w:val="19"/>
              </w:rPr>
              <w:t>RF-03</w:t>
            </w:r>
          </w:p>
        </w:tc>
        <w:tc>
          <w:tcPr>
            <w:tcW w:type="dxa" w:w="2880"/>
            <w:shd w:fill="FFFFFF"/>
            <w:tcMar>
              <w:top w:w="80" w:type="dxa"/>
              <w:bottom w:w="80" w:type="dxa"/>
              <w:left w:w="100" w:type="dxa"/>
              <w:right w:w="100" w:type="dxa"/>
            </w:tcMar>
          </w:tcPr>
          <w:p>
            <w:pPr>
              <w:spacing w:line="264" w:lineRule="auto"/>
            </w:pPr>
            <w:r>
              <w:rPr>
                <w:b/>
                <w:sz w:val="19"/>
              </w:rPr>
              <w:t>Clasificación MinCiencias</w:t>
            </w:r>
          </w:p>
        </w:tc>
        <w:tc>
          <w:tcPr>
            <w:tcW w:type="dxa" w:w="5040"/>
            <w:shd w:fill="FFFFFF"/>
            <w:tcMar>
              <w:top w:w="80" w:type="dxa"/>
              <w:bottom w:w="80" w:type="dxa"/>
              <w:left w:w="100" w:type="dxa"/>
              <w:right w:w="100" w:type="dxa"/>
            </w:tcMar>
          </w:tcPr>
          <w:p>
            <w:pPr>
              <w:spacing w:line="264" w:lineRule="auto"/>
            </w:pPr>
            <w:r>
              <w:rPr>
                <w:sz w:val="19"/>
              </w:rPr>
              <w:t>Clasificación automática de productos en variables: Nc_Top, Nc_A, Nc_B, AP, DPC, Fr_A, Fr_B según su tipo y categoría oficial.</w:t>
            </w:r>
          </w:p>
        </w:tc>
      </w:tr>
      <w:tr>
        <w:tc>
          <w:tcPr>
            <w:tcW w:type="dxa" w:w="1440"/>
            <w:shd w:fill="F8FAFC"/>
            <w:tcMar>
              <w:top w:w="80" w:type="dxa"/>
              <w:bottom w:w="80" w:type="dxa"/>
              <w:left w:w="100" w:type="dxa"/>
              <w:right w:w="100" w:type="dxa"/>
            </w:tcMar>
          </w:tcPr>
          <w:p>
            <w:pPr>
              <w:spacing w:line="264" w:lineRule="auto"/>
              <w:jc w:val="center"/>
            </w:pPr>
            <w:r>
              <w:rPr>
                <w:b/>
                <w:sz w:val="19"/>
              </w:rPr>
              <w:t>RF-04</w:t>
            </w:r>
          </w:p>
        </w:tc>
        <w:tc>
          <w:tcPr>
            <w:tcW w:type="dxa" w:w="2880"/>
            <w:shd w:fill="F8FAFC"/>
            <w:tcMar>
              <w:top w:w="80" w:type="dxa"/>
              <w:bottom w:w="80" w:type="dxa"/>
              <w:left w:w="100" w:type="dxa"/>
              <w:right w:w="100" w:type="dxa"/>
            </w:tcMar>
          </w:tcPr>
          <w:p>
            <w:pPr>
              <w:spacing w:line="264" w:lineRule="auto"/>
            </w:pPr>
            <w:r>
              <w:rPr>
                <w:b/>
                <w:sz w:val="19"/>
              </w:rPr>
              <w:t>Motor de Cálculo</w:t>
            </w:r>
          </w:p>
        </w:tc>
        <w:tc>
          <w:tcPr>
            <w:tcW w:type="dxa" w:w="5040"/>
            <w:shd w:fill="F8FAFC"/>
            <w:tcMar>
              <w:top w:w="80" w:type="dxa"/>
              <w:bottom w:w="80" w:type="dxa"/>
              <w:left w:w="100" w:type="dxa"/>
              <w:right w:w="100" w:type="dxa"/>
            </w:tcMar>
          </w:tcPr>
          <w:p>
            <w:pPr>
              <w:spacing w:line="264" w:lineRule="auto"/>
            </w:pPr>
            <w:r>
              <w:rPr>
                <w:sz w:val="19"/>
              </w:rPr>
              <w:t>Cálculo matemático exacto del indicador para grupos e investigadores individuales: I = 3.7·Nc_Top + 2.3·Nc_A + 0.4·Nc_B + 1.5·AP + 0.5·DPC + 1.0·Fr_A + 0.2·Fr_B + 0.1·Cohe + 0.3·Coop.</w:t>
            </w:r>
          </w:p>
        </w:tc>
      </w:tr>
      <w:tr>
        <w:tc>
          <w:tcPr>
            <w:tcW w:type="dxa" w:w="1440"/>
            <w:shd w:fill="FFFFFF"/>
            <w:tcMar>
              <w:top w:w="80" w:type="dxa"/>
              <w:bottom w:w="80" w:type="dxa"/>
              <w:left w:w="100" w:type="dxa"/>
              <w:right w:w="100" w:type="dxa"/>
            </w:tcMar>
          </w:tcPr>
          <w:p>
            <w:pPr>
              <w:spacing w:line="264" w:lineRule="auto"/>
              <w:jc w:val="center"/>
            </w:pPr>
            <w:r>
              <w:rPr>
                <w:b/>
                <w:sz w:val="19"/>
              </w:rPr>
              <w:t>RF-05</w:t>
            </w:r>
          </w:p>
        </w:tc>
        <w:tc>
          <w:tcPr>
            <w:tcW w:type="dxa" w:w="2880"/>
            <w:shd w:fill="FFFFFF"/>
            <w:tcMar>
              <w:top w:w="80" w:type="dxa"/>
              <w:bottom w:w="80" w:type="dxa"/>
              <w:left w:w="100" w:type="dxa"/>
              <w:right w:w="100" w:type="dxa"/>
            </w:tcMar>
          </w:tcPr>
          <w:p>
            <w:pPr>
              <w:spacing w:line="264" w:lineRule="auto"/>
            </w:pPr>
            <w:r>
              <w:rPr>
                <w:b/>
                <w:sz w:val="19"/>
              </w:rPr>
              <w:t>Pestaña de Indicadores (GUI)</w:t>
            </w:r>
          </w:p>
        </w:tc>
        <w:tc>
          <w:tcPr>
            <w:tcW w:type="dxa" w:w="5040"/>
            <w:shd w:fill="FFFFFF"/>
            <w:tcMar>
              <w:top w:w="80" w:type="dxa"/>
              <w:bottom w:w="80" w:type="dxa"/>
              <w:left w:w="100" w:type="dxa"/>
              <w:right w:w="100" w:type="dxa"/>
            </w:tcMar>
          </w:tcPr>
          <w:p>
            <w:pPr>
              <w:spacing w:line="264" w:lineRule="auto"/>
            </w:pPr>
            <w:r>
              <w:rPr>
                <w:sz w:val="19"/>
              </w:rPr>
              <w:t>Interfaz visual con conmutador Grupo/Investigador, selector de rango de años, 4 tarjetas KPI, tabla de desglose por término y tabla de productos con columna Estado.</w:t>
            </w:r>
          </w:p>
        </w:tc>
      </w:tr>
      <w:tr>
        <w:tc>
          <w:tcPr>
            <w:tcW w:type="dxa" w:w="1440"/>
            <w:shd w:fill="F8FAFC"/>
            <w:tcMar>
              <w:top w:w="80" w:type="dxa"/>
              <w:bottom w:w="80" w:type="dxa"/>
              <w:left w:w="100" w:type="dxa"/>
              <w:right w:w="100" w:type="dxa"/>
            </w:tcMar>
          </w:tcPr>
          <w:p>
            <w:pPr>
              <w:spacing w:line="264" w:lineRule="auto"/>
              <w:jc w:val="center"/>
            </w:pPr>
            <w:r>
              <w:rPr>
                <w:b/>
                <w:sz w:val="19"/>
              </w:rPr>
              <w:t>RF-06</w:t>
            </w:r>
          </w:p>
        </w:tc>
        <w:tc>
          <w:tcPr>
            <w:tcW w:type="dxa" w:w="2880"/>
            <w:shd w:fill="F8FAFC"/>
            <w:tcMar>
              <w:top w:w="80" w:type="dxa"/>
              <w:bottom w:w="80" w:type="dxa"/>
              <w:left w:w="100" w:type="dxa"/>
              <w:right w:w="100" w:type="dxa"/>
            </w:tcMar>
          </w:tcPr>
          <w:p>
            <w:pPr>
              <w:spacing w:line="264" w:lineRule="auto"/>
            </w:pPr>
            <w:r>
              <w:rPr>
                <w:b/>
                <w:sz w:val="19"/>
              </w:rPr>
              <w:t>Consola C++17 Formateada</w:t>
            </w:r>
          </w:p>
        </w:tc>
        <w:tc>
          <w:tcPr>
            <w:tcW w:type="dxa" w:w="5040"/>
            <w:shd w:fill="F8FAFC"/>
            <w:tcMar>
              <w:top w:w="80" w:type="dxa"/>
              <w:bottom w:w="80" w:type="dxa"/>
              <w:left w:w="100" w:type="dxa"/>
              <w:right w:w="100" w:type="dxa"/>
            </w:tcMar>
          </w:tcPr>
          <w:p>
            <w:pPr>
              <w:spacing w:line="264" w:lineRule="auto"/>
            </w:pPr>
            <w:r>
              <w:rPr>
                <w:sz w:val="19"/>
              </w:rPr>
              <w:t>Módulo de consola con tablas formateadas mediante std::setw, menús de auditoría y cálculo de indicadores grupales e individuales.</w:t>
            </w:r>
          </w:p>
        </w:tc>
      </w:tr>
      <w:tr>
        <w:tc>
          <w:tcPr>
            <w:tcW w:type="dxa" w:w="1440"/>
            <w:shd w:fill="FFFFFF"/>
            <w:tcMar>
              <w:top w:w="80" w:type="dxa"/>
              <w:bottom w:w="80" w:type="dxa"/>
              <w:left w:w="100" w:type="dxa"/>
              <w:right w:w="100" w:type="dxa"/>
            </w:tcMar>
          </w:tcPr>
          <w:p>
            <w:pPr>
              <w:spacing w:line="264" w:lineRule="auto"/>
              <w:jc w:val="center"/>
            </w:pPr>
            <w:r>
              <w:rPr>
                <w:b/>
                <w:sz w:val="19"/>
              </w:rPr>
              <w:t>RF-07</w:t>
            </w:r>
          </w:p>
        </w:tc>
        <w:tc>
          <w:tcPr>
            <w:tcW w:type="dxa" w:w="2880"/>
            <w:shd w:fill="FFFFFF"/>
            <w:tcMar>
              <w:top w:w="80" w:type="dxa"/>
              <w:bottom w:w="80" w:type="dxa"/>
              <w:left w:w="100" w:type="dxa"/>
              <w:right w:w="100" w:type="dxa"/>
            </w:tcMar>
          </w:tcPr>
          <w:p>
            <w:pPr>
              <w:spacing w:line="264" w:lineRule="auto"/>
            </w:pPr>
            <w:r>
              <w:rPr>
                <w:b/>
                <w:sz w:val="19"/>
              </w:rPr>
              <w:t>Pila de Deshacer (LIFO)</w:t>
            </w:r>
          </w:p>
        </w:tc>
        <w:tc>
          <w:tcPr>
            <w:tcW w:type="dxa" w:w="5040"/>
            <w:shd w:fill="FFFFFF"/>
            <w:tcMar>
              <w:top w:w="80" w:type="dxa"/>
              <w:bottom w:w="80" w:type="dxa"/>
              <w:left w:w="100" w:type="dxa"/>
              <w:right w:w="100" w:type="dxa"/>
            </w:tcMar>
          </w:tcPr>
          <w:p>
            <w:pPr>
              <w:spacing w:line="264" w:lineRule="auto"/>
            </w:pPr>
            <w:r>
              <w:rPr>
                <w:sz w:val="19"/>
              </w:rPr>
              <w:t>Historial de modificaciones que permite apilar eliminaciones lógicas y revertir cambios de forma ordenada.</w:t>
            </w:r>
          </w:p>
        </w:tc>
      </w:tr>
      <w:tr>
        <w:tc>
          <w:tcPr>
            <w:tcW w:type="dxa" w:w="1440"/>
            <w:shd w:fill="F8FAFC"/>
            <w:tcMar>
              <w:top w:w="80" w:type="dxa"/>
              <w:bottom w:w="80" w:type="dxa"/>
              <w:left w:w="100" w:type="dxa"/>
              <w:right w:w="100" w:type="dxa"/>
            </w:tcMar>
          </w:tcPr>
          <w:p>
            <w:pPr>
              <w:spacing w:line="264" w:lineRule="auto"/>
              <w:jc w:val="center"/>
            </w:pPr>
            <w:r>
              <w:rPr>
                <w:b/>
                <w:sz w:val="19"/>
              </w:rPr>
              <w:t>RF-08</w:t>
            </w:r>
          </w:p>
        </w:tc>
        <w:tc>
          <w:tcPr>
            <w:tcW w:type="dxa" w:w="2880"/>
            <w:shd w:fill="F8FAFC"/>
            <w:tcMar>
              <w:top w:w="80" w:type="dxa"/>
              <w:bottom w:w="80" w:type="dxa"/>
              <w:left w:w="100" w:type="dxa"/>
              <w:right w:w="100" w:type="dxa"/>
            </w:tcMar>
          </w:tcPr>
          <w:p>
            <w:pPr>
              <w:spacing w:line="264" w:lineRule="auto"/>
            </w:pPr>
            <w:r>
              <w:rPr>
                <w:b/>
                <w:sz w:val="19"/>
              </w:rPr>
              <w:t>Cola de Validación (FIFO)</w:t>
            </w:r>
          </w:p>
        </w:tc>
        <w:tc>
          <w:tcPr>
            <w:tcW w:type="dxa" w:w="5040"/>
            <w:shd w:fill="F8FAFC"/>
            <w:tcMar>
              <w:top w:w="80" w:type="dxa"/>
              <w:bottom w:w="80" w:type="dxa"/>
              <w:left w:w="100" w:type="dxa"/>
              <w:right w:w="100" w:type="dxa"/>
            </w:tcMar>
          </w:tcPr>
          <w:p>
            <w:pPr>
              <w:spacing w:line="264" w:lineRule="auto"/>
            </w:pPr>
            <w:r>
              <w:rPr>
                <w:sz w:val="19"/>
              </w:rPr>
              <w:t>Buffer secuencial de atención para productos pendientes de validación institucional.</w:t>
            </w:r>
          </w:p>
        </w:tc>
      </w:tr>
      <w:tr>
        <w:tc>
          <w:tcPr>
            <w:tcW w:type="dxa" w:w="1440"/>
            <w:shd w:fill="FFFFFF"/>
            <w:tcMar>
              <w:top w:w="80" w:type="dxa"/>
              <w:bottom w:w="80" w:type="dxa"/>
              <w:left w:w="100" w:type="dxa"/>
              <w:right w:w="100" w:type="dxa"/>
            </w:tcMar>
          </w:tcPr>
          <w:p>
            <w:pPr>
              <w:spacing w:line="264" w:lineRule="auto"/>
              <w:jc w:val="center"/>
            </w:pPr>
            <w:r>
              <w:rPr>
                <w:b/>
                <w:sz w:val="19"/>
              </w:rPr>
              <w:t>RF-09</w:t>
            </w:r>
          </w:p>
        </w:tc>
        <w:tc>
          <w:tcPr>
            <w:tcW w:type="dxa" w:w="2880"/>
            <w:shd w:fill="FFFFFF"/>
            <w:tcMar>
              <w:top w:w="80" w:type="dxa"/>
              <w:bottom w:w="80" w:type="dxa"/>
              <w:left w:w="100" w:type="dxa"/>
              <w:right w:w="100" w:type="dxa"/>
            </w:tcMar>
          </w:tcPr>
          <w:p>
            <w:pPr>
              <w:spacing w:line="264" w:lineRule="auto"/>
            </w:pPr>
            <w:r>
              <w:rPr>
                <w:b/>
                <w:sz w:val="19"/>
              </w:rPr>
              <w:t>Persistencia Dual</w:t>
            </w:r>
          </w:p>
        </w:tc>
        <w:tc>
          <w:tcPr>
            <w:tcW w:type="dxa" w:w="5040"/>
            <w:shd w:fill="FFFFFF"/>
            <w:tcMar>
              <w:top w:w="80" w:type="dxa"/>
              <w:bottom w:w="80" w:type="dxa"/>
              <w:left w:w="100" w:type="dxa"/>
              <w:right w:w="100" w:type="dxa"/>
            </w:tcMar>
          </w:tcPr>
          <w:p>
            <w:pPr>
              <w:spacing w:line="264" w:lineRule="auto"/>
            </w:pPr>
            <w:r>
              <w:rPr>
                <w:sz w:val="19"/>
              </w:rPr>
              <w:t>Soporte de lectura y escritura en JSON estructurado (Python) y texto plano CSV tipificado (C++).</w:t>
            </w:r>
          </w:p>
        </w:tc>
      </w:tr>
    </w:tbl>
    <w:p>
      <w:pPr>
        <w:pStyle w:val="Heading2"/>
      </w:pPr>
      <w:r>
        <w:t>2.2. Requisitos No Funcionales (RNF)</w:t>
      </w:r>
    </w:p>
    <w:p>
      <w:pPr>
        <w:pStyle w:val="ListBullet"/>
        <w:spacing w:line="276" w:lineRule="auto" w:after="80"/>
      </w:pPr>
      <w:r>
        <w:rPr>
          <w:b/>
          <w:color w:val="1B365D"/>
        </w:rPr>
        <w:t xml:space="preserve">RNF-01: Rendimiento: </w:t>
      </w:r>
      <w:r>
        <w:t>Inserción O(1) en cabeza de listas enlazadas. Cálculo de indicadores en menos de 50 ms para 1.000 productos.</w:t>
      </w:r>
    </w:p>
    <w:p>
      <w:pPr>
        <w:pStyle w:val="ListBullet"/>
        <w:spacing w:line="276" w:lineRule="auto" w:after="80"/>
      </w:pPr>
      <w:r>
        <w:rPr>
          <w:b/>
          <w:color w:val="1B365D"/>
        </w:rPr>
        <w:t xml:space="preserve">RNF-02: Gestión de Memoria: </w:t>
      </w:r>
      <w:r>
        <w:t>Uso estricto de memoria dinámica con liberación explícita en destructores de C++ (Zero Memory Leaks).</w:t>
      </w:r>
    </w:p>
    <w:p>
      <w:pPr>
        <w:pStyle w:val="ListBullet"/>
        <w:spacing w:line="276" w:lineRule="auto" w:after="80"/>
      </w:pPr>
      <w:r>
        <w:rPr>
          <w:b/>
          <w:color w:val="1B365D"/>
        </w:rPr>
        <w:t xml:space="preserve">RNF-03: Ergonomía y Usabilidad: </w:t>
      </w:r>
      <w:r>
        <w:t>Diseño UI en modo oscuro/claro con paleta slate/azul institucional, tipografías legibles y feedback interactivo.</w:t>
      </w:r>
    </w:p>
    <w:p>
      <w:pPr>
        <w:pStyle w:val="ListBullet"/>
        <w:spacing w:line="276" w:lineRule="auto" w:after="80"/>
      </w:pPr>
      <w:r>
        <w:rPr>
          <w:b/>
          <w:color w:val="1B365D"/>
        </w:rPr>
        <w:t xml:space="preserve">RNF-04: Robustez y Validación: </w:t>
      </w:r>
      <w:r>
        <w:t>Manejo riguroso de excepciones; los programas nunca se cierran ante entradas no numéricas o rangos invertidos.</w:t>
      </w:r>
    </w:p>
    <w:p>
      <w:pPr>
        <w:pStyle w:val="ListBullet"/>
        <w:spacing w:line="276" w:lineRule="auto" w:after="80"/>
      </w:pPr>
      <w:r>
        <w:rPr>
          <w:b/>
          <w:color w:val="1B365D"/>
        </w:rPr>
        <w:t xml:space="preserve">RNF-05: Portabilidad Local: </w:t>
      </w:r>
      <w:r>
        <w:t>Rutas de archivos calculadas de forma relativa sin dependencias absolutas en el sistema operativo.</w:t>
      </w:r>
    </w:p>
    <w:p>
      <w:r>
        <w:br w:type="page"/>
      </w:r>
    </w:p>
    <w:p>
      <w:pPr>
        <w:pStyle w:val="Heading1"/>
      </w:pPr>
      <w:r>
        <w:rPr>
          <w:rFonts w:ascii="Calibri" w:hAnsi="Calibri"/>
          <w:color w:val="1B365D"/>
        </w:rPr>
        <w:t>3. Explicación Técnica de la Fórmula del Indicador de MinCiencias</w:t>
      </w:r>
    </w:p>
    <w:p>
      <w:pPr>
        <w:spacing w:line="276" w:lineRule="auto" w:after="160"/>
      </w:pPr>
      <w:r>
        <w:t>El indicador de producción científica implementado en PEA-i toma como base el modelo de medición de MinCiencias Colombia (Convocatoria 957 / Modelo 2024). Dicho modelo evalúa el aporte de los grupos de investigación e investigadores a través de una función lineal ponderada multicriterio:</w:t>
      </w:r>
    </w:p>
    <w:p>
      <w:pPr>
        <w:spacing w:before="200" w:after="200"/>
        <w:jc w:val="center"/>
      </w:pPr>
      <w:r>
        <w:rPr>
          <w:rFonts w:ascii="Consolas" w:hAnsi="Consolas"/>
          <w:b/>
          <w:color w:val="0F172A"/>
          <w:sz w:val="24"/>
        </w:rPr>
        <w:t>Indicador = 3.7 · Nc_Top + 2.3 · Nc_A + 0.4 · Nc_B + 1.5 · AP + 0.5 · DPC</w:t>
        <w:br/>
        <w:t>+ 1.0 · Fr_A + 0.2 · Fr_B + 0.1 · Cohe + 0.3 · Coop</w:t>
      </w:r>
    </w:p>
    <w:p>
      <w:pPr>
        <w:pStyle w:val="Heading2"/>
      </w:pPr>
      <w:r>
        <w:t>3.1. Taxonomía de Variables y Asignación de Coeficientes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B365D"/>
            <w:tcMar>
              <w:top w:w="80" w:type="dxa"/>
              <w:bottom w:w="80" w:type="dxa"/>
              <w:left w:w="100" w:type="dxa"/>
              <w:right w:w="100" w:type="dxa"/>
            </w:tcMar>
          </w:tcPr>
          <w:p>
            <w:pPr>
              <w:jc w:val="center"/>
            </w:pPr>
            <w:r>
              <w:rPr>
                <w:b/>
                <w:color w:val="FFFFFF"/>
                <w:sz w:val="19"/>
              </w:rPr>
              <w:t>Término</w:t>
            </w:r>
          </w:p>
        </w:tc>
        <w:tc>
          <w:tcPr>
            <w:tcW w:type="dxa" w:w="2736"/>
            <w:shd w:fill="1B365D"/>
            <w:tcMar>
              <w:top w:w="80" w:type="dxa"/>
              <w:bottom w:w="80" w:type="dxa"/>
              <w:left w:w="100" w:type="dxa"/>
              <w:right w:w="100" w:type="dxa"/>
            </w:tcMar>
          </w:tcPr>
          <w:p>
            <w:pPr>
              <w:jc w:val="center"/>
            </w:pPr>
            <w:r>
              <w:rPr>
                <w:b/>
                <w:color w:val="FFFFFF"/>
                <w:sz w:val="19"/>
              </w:rPr>
              <w:t>Significado MinCiencias</w:t>
            </w:r>
          </w:p>
        </w:tc>
        <w:tc>
          <w:tcPr>
            <w:tcW w:type="dxa" w:w="1152"/>
            <w:shd w:fill="1B365D"/>
            <w:tcMar>
              <w:top w:w="80" w:type="dxa"/>
              <w:bottom w:w="80" w:type="dxa"/>
              <w:left w:w="100" w:type="dxa"/>
              <w:right w:w="100" w:type="dxa"/>
            </w:tcMar>
          </w:tcPr>
          <w:p>
            <w:pPr>
              <w:jc w:val="center"/>
            </w:pPr>
            <w:r>
              <w:rPr>
                <w:b/>
                <w:color w:val="FFFFFF"/>
                <w:sz w:val="19"/>
              </w:rPr>
              <w:t>Peso</w:t>
            </w:r>
          </w:p>
        </w:tc>
        <w:tc>
          <w:tcPr>
            <w:tcW w:type="dxa" w:w="3888"/>
            <w:shd w:fill="1B365D"/>
            <w:tcMar>
              <w:top w:w="80" w:type="dxa"/>
              <w:bottom w:w="80" w:type="dxa"/>
              <w:left w:w="100" w:type="dxa"/>
              <w:right w:w="100" w:type="dxa"/>
            </w:tcMar>
          </w:tcPr>
          <w:p>
            <w:pPr>
              <w:jc w:val="center"/>
            </w:pPr>
            <w:r>
              <w:rPr>
                <w:b/>
                <w:color w:val="FFFFFF"/>
                <w:sz w:val="19"/>
              </w:rPr>
              <w:t>Criterios de Inclusión</w:t>
            </w:r>
          </w:p>
        </w:tc>
      </w:tr>
      <w:tr>
        <w:tc>
          <w:tcPr>
            <w:tcW w:type="dxa" w:w="1584"/>
            <w:shd w:fill="FFFFFF"/>
            <w:tcMar>
              <w:top w:w="60" w:type="dxa"/>
              <w:bottom w:w="60" w:type="dxa"/>
              <w:left w:w="80" w:type="dxa"/>
              <w:right w:w="80" w:type="dxa"/>
            </w:tcMar>
          </w:tcPr>
          <w:p>
            <w:pPr>
              <w:spacing w:line="264" w:lineRule="auto"/>
              <w:jc w:val="center"/>
            </w:pPr>
            <w:r>
              <w:rPr>
                <w:b/>
                <w:sz w:val="18"/>
              </w:rPr>
              <w:t>Nc_Top</w:t>
            </w:r>
          </w:p>
        </w:tc>
        <w:tc>
          <w:tcPr>
            <w:tcW w:type="dxa" w:w="2736"/>
            <w:shd w:fill="FFFFFF"/>
            <w:tcMar>
              <w:top w:w="60" w:type="dxa"/>
              <w:bottom w:w="60" w:type="dxa"/>
              <w:left w:w="80" w:type="dxa"/>
              <w:right w:w="80" w:type="dxa"/>
            </w:tcMar>
          </w:tcPr>
          <w:p>
            <w:pPr>
              <w:spacing w:line="264" w:lineRule="auto"/>
            </w:pPr>
            <w:r>
              <w:rPr>
                <w:sz w:val="18"/>
              </w:rPr>
              <w:t>Nuevo Conocimiento Top</w:t>
            </w:r>
          </w:p>
        </w:tc>
        <w:tc>
          <w:tcPr>
            <w:tcW w:type="dxa" w:w="1152"/>
            <w:shd w:fill="FFFFFF"/>
            <w:tcMar>
              <w:top w:w="60" w:type="dxa"/>
              <w:bottom w:w="60" w:type="dxa"/>
              <w:left w:w="80" w:type="dxa"/>
              <w:right w:w="80" w:type="dxa"/>
            </w:tcMar>
          </w:tcPr>
          <w:p>
            <w:pPr>
              <w:spacing w:line="264" w:lineRule="auto"/>
              <w:jc w:val="center"/>
            </w:pPr>
            <w:r>
              <w:rPr>
                <w:b/>
                <w:sz w:val="18"/>
              </w:rPr>
              <w:t>3.7</w:t>
            </w:r>
          </w:p>
        </w:tc>
        <w:tc>
          <w:tcPr>
            <w:tcW w:type="dxa" w:w="3888"/>
            <w:shd w:fill="FFFFFF"/>
            <w:tcMar>
              <w:top w:w="60" w:type="dxa"/>
              <w:bottom w:w="60" w:type="dxa"/>
              <w:left w:w="80" w:type="dxa"/>
              <w:right w:w="80" w:type="dxa"/>
            </w:tcMar>
          </w:tcPr>
          <w:p>
            <w:pPr>
              <w:spacing w:line="264" w:lineRule="auto"/>
            </w:pPr>
            <w:r>
              <w:rPr>
                <w:sz w:val="18"/>
              </w:rPr>
              <w:t>Artículos de investigación en revistas categoría A1 / Top según Publindex / Scopus / WoS.</w:t>
            </w:r>
          </w:p>
        </w:tc>
      </w:tr>
      <w:tr>
        <w:tc>
          <w:tcPr>
            <w:tcW w:type="dxa" w:w="1584"/>
            <w:shd w:fill="F8FAFC"/>
            <w:tcMar>
              <w:top w:w="60" w:type="dxa"/>
              <w:bottom w:w="60" w:type="dxa"/>
              <w:left w:w="80" w:type="dxa"/>
              <w:right w:w="80" w:type="dxa"/>
            </w:tcMar>
          </w:tcPr>
          <w:p>
            <w:pPr>
              <w:spacing w:line="264" w:lineRule="auto"/>
              <w:jc w:val="center"/>
            </w:pPr>
            <w:r>
              <w:rPr>
                <w:b/>
                <w:sz w:val="18"/>
              </w:rPr>
              <w:t>Nc_A</w:t>
            </w:r>
          </w:p>
        </w:tc>
        <w:tc>
          <w:tcPr>
            <w:tcW w:type="dxa" w:w="2736"/>
            <w:shd w:fill="F8FAFC"/>
            <w:tcMar>
              <w:top w:w="60" w:type="dxa"/>
              <w:bottom w:w="60" w:type="dxa"/>
              <w:left w:w="80" w:type="dxa"/>
              <w:right w:w="80" w:type="dxa"/>
            </w:tcMar>
          </w:tcPr>
          <w:p>
            <w:pPr>
              <w:spacing w:line="264" w:lineRule="auto"/>
            </w:pPr>
            <w:r>
              <w:rPr>
                <w:sz w:val="18"/>
              </w:rPr>
              <w:t>Nuevo Conocimiento A</w:t>
            </w:r>
          </w:p>
        </w:tc>
        <w:tc>
          <w:tcPr>
            <w:tcW w:type="dxa" w:w="1152"/>
            <w:shd w:fill="F8FAFC"/>
            <w:tcMar>
              <w:top w:w="60" w:type="dxa"/>
              <w:bottom w:w="60" w:type="dxa"/>
              <w:left w:w="80" w:type="dxa"/>
              <w:right w:w="80" w:type="dxa"/>
            </w:tcMar>
          </w:tcPr>
          <w:p>
            <w:pPr>
              <w:spacing w:line="264" w:lineRule="auto"/>
              <w:jc w:val="center"/>
            </w:pPr>
            <w:r>
              <w:rPr>
                <w:b/>
                <w:sz w:val="18"/>
              </w:rPr>
              <w:t>2.3</w:t>
            </w:r>
          </w:p>
        </w:tc>
        <w:tc>
          <w:tcPr>
            <w:tcW w:type="dxa" w:w="3888"/>
            <w:shd w:fill="F8FAFC"/>
            <w:tcMar>
              <w:top w:w="60" w:type="dxa"/>
              <w:bottom w:w="60" w:type="dxa"/>
              <w:left w:w="80" w:type="dxa"/>
              <w:right w:w="80" w:type="dxa"/>
            </w:tcMar>
          </w:tcPr>
          <w:p>
            <w:pPr>
              <w:spacing w:line="264" w:lineRule="auto"/>
            </w:pPr>
            <w:r>
              <w:rPr>
                <w:sz w:val="18"/>
              </w:rPr>
              <w:t>Artículos científicos en revistas categoría A2 / A, libros de investigación y patentes concedidas.</w:t>
            </w:r>
          </w:p>
        </w:tc>
      </w:tr>
      <w:tr>
        <w:tc>
          <w:tcPr>
            <w:tcW w:type="dxa" w:w="1584"/>
            <w:shd w:fill="FFFFFF"/>
            <w:tcMar>
              <w:top w:w="60" w:type="dxa"/>
              <w:bottom w:w="60" w:type="dxa"/>
              <w:left w:w="80" w:type="dxa"/>
              <w:right w:w="80" w:type="dxa"/>
            </w:tcMar>
          </w:tcPr>
          <w:p>
            <w:pPr>
              <w:spacing w:line="264" w:lineRule="auto"/>
              <w:jc w:val="center"/>
            </w:pPr>
            <w:r>
              <w:rPr>
                <w:b/>
                <w:sz w:val="18"/>
              </w:rPr>
              <w:t>Nc_B</w:t>
            </w:r>
          </w:p>
        </w:tc>
        <w:tc>
          <w:tcPr>
            <w:tcW w:type="dxa" w:w="2736"/>
            <w:shd w:fill="FFFFFF"/>
            <w:tcMar>
              <w:top w:w="60" w:type="dxa"/>
              <w:bottom w:w="60" w:type="dxa"/>
              <w:left w:w="80" w:type="dxa"/>
              <w:right w:w="80" w:type="dxa"/>
            </w:tcMar>
          </w:tcPr>
          <w:p>
            <w:pPr>
              <w:spacing w:line="264" w:lineRule="auto"/>
            </w:pPr>
            <w:r>
              <w:rPr>
                <w:sz w:val="18"/>
              </w:rPr>
              <w:t>Nuevo Conocimiento B</w:t>
            </w:r>
          </w:p>
        </w:tc>
        <w:tc>
          <w:tcPr>
            <w:tcW w:type="dxa" w:w="1152"/>
            <w:shd w:fill="FFFFFF"/>
            <w:tcMar>
              <w:top w:w="60" w:type="dxa"/>
              <w:bottom w:w="60" w:type="dxa"/>
              <w:left w:w="80" w:type="dxa"/>
              <w:right w:w="80" w:type="dxa"/>
            </w:tcMar>
          </w:tcPr>
          <w:p>
            <w:pPr>
              <w:spacing w:line="264" w:lineRule="auto"/>
              <w:jc w:val="center"/>
            </w:pPr>
            <w:r>
              <w:rPr>
                <w:b/>
                <w:sz w:val="18"/>
              </w:rPr>
              <w:t>0.4</w:t>
            </w:r>
          </w:p>
        </w:tc>
        <w:tc>
          <w:tcPr>
            <w:tcW w:type="dxa" w:w="3888"/>
            <w:shd w:fill="FFFFFF"/>
            <w:tcMar>
              <w:top w:w="60" w:type="dxa"/>
              <w:bottom w:w="60" w:type="dxa"/>
              <w:left w:w="80" w:type="dxa"/>
              <w:right w:w="80" w:type="dxa"/>
            </w:tcMar>
          </w:tcPr>
          <w:p>
            <w:pPr>
              <w:spacing w:line="264" w:lineRule="auto"/>
            </w:pPr>
            <w:r>
              <w:rPr>
                <w:sz w:val="18"/>
              </w:rPr>
              <w:t>Artículos en categoría B, capítulos de libro de investigación y variedades vegetales.</w:t>
            </w:r>
          </w:p>
        </w:tc>
      </w:tr>
      <w:tr>
        <w:tc>
          <w:tcPr>
            <w:tcW w:type="dxa" w:w="1584"/>
            <w:shd w:fill="F8FAFC"/>
            <w:tcMar>
              <w:top w:w="60" w:type="dxa"/>
              <w:bottom w:w="60" w:type="dxa"/>
              <w:left w:w="80" w:type="dxa"/>
              <w:right w:w="80" w:type="dxa"/>
            </w:tcMar>
          </w:tcPr>
          <w:p>
            <w:pPr>
              <w:spacing w:line="264" w:lineRule="auto"/>
              <w:jc w:val="center"/>
            </w:pPr>
            <w:r>
              <w:rPr>
                <w:b/>
                <w:sz w:val="18"/>
              </w:rPr>
              <w:t>AP</w:t>
            </w:r>
          </w:p>
        </w:tc>
        <w:tc>
          <w:tcPr>
            <w:tcW w:type="dxa" w:w="2736"/>
            <w:shd w:fill="F8FAFC"/>
            <w:tcMar>
              <w:top w:w="60" w:type="dxa"/>
              <w:bottom w:w="60" w:type="dxa"/>
              <w:left w:w="80" w:type="dxa"/>
              <w:right w:w="80" w:type="dxa"/>
            </w:tcMar>
          </w:tcPr>
          <w:p>
            <w:pPr>
              <w:spacing w:line="264" w:lineRule="auto"/>
            </w:pPr>
            <w:r>
              <w:rPr>
                <w:sz w:val="18"/>
              </w:rPr>
              <w:t>Apropiación Social</w:t>
            </w:r>
          </w:p>
        </w:tc>
        <w:tc>
          <w:tcPr>
            <w:tcW w:type="dxa" w:w="1152"/>
            <w:shd w:fill="F8FAFC"/>
            <w:tcMar>
              <w:top w:w="60" w:type="dxa"/>
              <w:bottom w:w="60" w:type="dxa"/>
              <w:left w:w="80" w:type="dxa"/>
              <w:right w:w="80" w:type="dxa"/>
            </w:tcMar>
          </w:tcPr>
          <w:p>
            <w:pPr>
              <w:spacing w:line="264" w:lineRule="auto"/>
              <w:jc w:val="center"/>
            </w:pPr>
            <w:r>
              <w:rPr>
                <w:b/>
                <w:sz w:val="18"/>
              </w:rPr>
              <w:t>1.5</w:t>
            </w:r>
          </w:p>
        </w:tc>
        <w:tc>
          <w:tcPr>
            <w:tcW w:type="dxa" w:w="3888"/>
            <w:shd w:fill="F8FAFC"/>
            <w:tcMar>
              <w:top w:w="60" w:type="dxa"/>
              <w:bottom w:w="60" w:type="dxa"/>
              <w:left w:w="80" w:type="dxa"/>
              <w:right w:w="80" w:type="dxa"/>
            </w:tcMar>
          </w:tcPr>
          <w:p>
            <w:pPr>
              <w:spacing w:line="264" w:lineRule="auto"/>
            </w:pPr>
            <w:r>
              <w:rPr>
                <w:sz w:val="18"/>
              </w:rPr>
              <w:t>Procesos de Apropiación Social del Conocimiento, eventos científicos y artículos categoría C.</w:t>
            </w:r>
          </w:p>
        </w:tc>
      </w:tr>
      <w:tr>
        <w:tc>
          <w:tcPr>
            <w:tcW w:type="dxa" w:w="1584"/>
            <w:shd w:fill="FFFFFF"/>
            <w:tcMar>
              <w:top w:w="60" w:type="dxa"/>
              <w:bottom w:w="60" w:type="dxa"/>
              <w:left w:w="80" w:type="dxa"/>
              <w:right w:w="80" w:type="dxa"/>
            </w:tcMar>
          </w:tcPr>
          <w:p>
            <w:pPr>
              <w:spacing w:line="264" w:lineRule="auto"/>
              <w:jc w:val="center"/>
            </w:pPr>
            <w:r>
              <w:rPr>
                <w:b/>
                <w:sz w:val="18"/>
              </w:rPr>
              <w:t>DPC</w:t>
            </w:r>
          </w:p>
        </w:tc>
        <w:tc>
          <w:tcPr>
            <w:tcW w:type="dxa" w:w="2736"/>
            <w:shd w:fill="FFFFFF"/>
            <w:tcMar>
              <w:top w:w="60" w:type="dxa"/>
              <w:bottom w:w="60" w:type="dxa"/>
              <w:left w:w="80" w:type="dxa"/>
              <w:right w:w="80" w:type="dxa"/>
            </w:tcMar>
          </w:tcPr>
          <w:p>
            <w:pPr>
              <w:spacing w:line="264" w:lineRule="auto"/>
            </w:pPr>
            <w:r>
              <w:rPr>
                <w:sz w:val="18"/>
              </w:rPr>
              <w:t>Divulgación y Desarrollo</w:t>
            </w:r>
          </w:p>
        </w:tc>
        <w:tc>
          <w:tcPr>
            <w:tcW w:type="dxa" w:w="1152"/>
            <w:shd w:fill="FFFFFF"/>
            <w:tcMar>
              <w:top w:w="60" w:type="dxa"/>
              <w:bottom w:w="60" w:type="dxa"/>
              <w:left w:w="80" w:type="dxa"/>
              <w:right w:w="80" w:type="dxa"/>
            </w:tcMar>
          </w:tcPr>
          <w:p>
            <w:pPr>
              <w:spacing w:line="264" w:lineRule="auto"/>
              <w:jc w:val="center"/>
            </w:pPr>
            <w:r>
              <w:rPr>
                <w:b/>
                <w:sz w:val="18"/>
              </w:rPr>
              <w:t>0.5</w:t>
            </w:r>
          </w:p>
        </w:tc>
        <w:tc>
          <w:tcPr>
            <w:tcW w:type="dxa" w:w="3888"/>
            <w:shd w:fill="FFFFFF"/>
            <w:tcMar>
              <w:top w:w="60" w:type="dxa"/>
              <w:bottom w:w="60" w:type="dxa"/>
              <w:left w:w="80" w:type="dxa"/>
              <w:right w:w="80" w:type="dxa"/>
            </w:tcMar>
          </w:tcPr>
          <w:p>
            <w:pPr>
              <w:spacing w:line="264" w:lineRule="auto"/>
            </w:pPr>
            <w:r>
              <w:rPr>
                <w:sz w:val="18"/>
              </w:rPr>
              <w:t>Conceptos técnicos, software registrado, registros de diseño industrial y divulgación pública.</w:t>
            </w:r>
          </w:p>
        </w:tc>
      </w:tr>
      <w:tr>
        <w:tc>
          <w:tcPr>
            <w:tcW w:type="dxa" w:w="1584"/>
            <w:shd w:fill="F8FAFC"/>
            <w:tcMar>
              <w:top w:w="60" w:type="dxa"/>
              <w:bottom w:w="60" w:type="dxa"/>
              <w:left w:w="80" w:type="dxa"/>
              <w:right w:w="80" w:type="dxa"/>
            </w:tcMar>
          </w:tcPr>
          <w:p>
            <w:pPr>
              <w:spacing w:line="264" w:lineRule="auto"/>
              <w:jc w:val="center"/>
            </w:pPr>
            <w:r>
              <w:rPr>
                <w:b/>
                <w:sz w:val="18"/>
              </w:rPr>
              <w:t>Fr_A</w:t>
            </w:r>
          </w:p>
        </w:tc>
        <w:tc>
          <w:tcPr>
            <w:tcW w:type="dxa" w:w="2736"/>
            <w:shd w:fill="F8FAFC"/>
            <w:tcMar>
              <w:top w:w="60" w:type="dxa"/>
              <w:bottom w:w="60" w:type="dxa"/>
              <w:left w:w="80" w:type="dxa"/>
              <w:right w:w="80" w:type="dxa"/>
            </w:tcMar>
          </w:tcPr>
          <w:p>
            <w:pPr>
              <w:spacing w:line="264" w:lineRule="auto"/>
            </w:pPr>
            <w:r>
              <w:rPr>
                <w:sz w:val="18"/>
              </w:rPr>
              <w:t>Formación Avanzada</w:t>
            </w:r>
          </w:p>
        </w:tc>
        <w:tc>
          <w:tcPr>
            <w:tcW w:type="dxa" w:w="1152"/>
            <w:shd w:fill="F8FAFC"/>
            <w:tcMar>
              <w:top w:w="60" w:type="dxa"/>
              <w:bottom w:w="60" w:type="dxa"/>
              <w:left w:w="80" w:type="dxa"/>
              <w:right w:w="80" w:type="dxa"/>
            </w:tcMar>
          </w:tcPr>
          <w:p>
            <w:pPr>
              <w:spacing w:line="264" w:lineRule="auto"/>
              <w:jc w:val="center"/>
            </w:pPr>
            <w:r>
              <w:rPr>
                <w:b/>
                <w:sz w:val="18"/>
              </w:rPr>
              <w:t>1.0</w:t>
            </w:r>
          </w:p>
        </w:tc>
        <w:tc>
          <w:tcPr>
            <w:tcW w:type="dxa" w:w="3888"/>
            <w:shd w:fill="F8FAFC"/>
            <w:tcMar>
              <w:top w:w="60" w:type="dxa"/>
              <w:bottom w:w="60" w:type="dxa"/>
              <w:left w:w="80" w:type="dxa"/>
              <w:right w:w="80" w:type="dxa"/>
            </w:tcMar>
          </w:tcPr>
          <w:p>
            <w:pPr>
              <w:spacing w:line="264" w:lineRule="auto"/>
            </w:pPr>
            <w:r>
              <w:rPr>
                <w:sz w:val="18"/>
              </w:rPr>
              <w:t>Tesis de Doctorado y trabajos de grado de Maestría sustentados y aprobados.</w:t>
            </w:r>
          </w:p>
        </w:tc>
      </w:tr>
      <w:tr>
        <w:tc>
          <w:tcPr>
            <w:tcW w:type="dxa" w:w="1584"/>
            <w:shd w:fill="FFFFFF"/>
            <w:tcMar>
              <w:top w:w="60" w:type="dxa"/>
              <w:bottom w:w="60" w:type="dxa"/>
              <w:left w:w="80" w:type="dxa"/>
              <w:right w:w="80" w:type="dxa"/>
            </w:tcMar>
          </w:tcPr>
          <w:p>
            <w:pPr>
              <w:spacing w:line="264" w:lineRule="auto"/>
              <w:jc w:val="center"/>
            </w:pPr>
            <w:r>
              <w:rPr>
                <w:b/>
                <w:sz w:val="18"/>
              </w:rPr>
              <w:t>Fr_B</w:t>
            </w:r>
          </w:p>
        </w:tc>
        <w:tc>
          <w:tcPr>
            <w:tcW w:type="dxa" w:w="2736"/>
            <w:shd w:fill="FFFFFF"/>
            <w:tcMar>
              <w:top w:w="60" w:type="dxa"/>
              <w:bottom w:w="60" w:type="dxa"/>
              <w:left w:w="80" w:type="dxa"/>
              <w:right w:w="80" w:type="dxa"/>
            </w:tcMar>
          </w:tcPr>
          <w:p>
            <w:pPr>
              <w:spacing w:line="264" w:lineRule="auto"/>
            </w:pPr>
            <w:r>
              <w:rPr>
                <w:sz w:val="18"/>
              </w:rPr>
              <w:t>Formación Pregrado</w:t>
            </w:r>
          </w:p>
        </w:tc>
        <w:tc>
          <w:tcPr>
            <w:tcW w:type="dxa" w:w="1152"/>
            <w:shd w:fill="FFFFFF"/>
            <w:tcMar>
              <w:top w:w="60" w:type="dxa"/>
              <w:bottom w:w="60" w:type="dxa"/>
              <w:left w:w="80" w:type="dxa"/>
              <w:right w:w="80" w:type="dxa"/>
            </w:tcMar>
          </w:tcPr>
          <w:p>
            <w:pPr>
              <w:spacing w:line="264" w:lineRule="auto"/>
              <w:jc w:val="center"/>
            </w:pPr>
            <w:r>
              <w:rPr>
                <w:b/>
                <w:sz w:val="18"/>
              </w:rPr>
              <w:t>0.2</w:t>
            </w:r>
          </w:p>
        </w:tc>
        <w:tc>
          <w:tcPr>
            <w:tcW w:type="dxa" w:w="3888"/>
            <w:shd w:fill="FFFFFF"/>
            <w:tcMar>
              <w:top w:w="60" w:type="dxa"/>
              <w:bottom w:w="60" w:type="dxa"/>
              <w:left w:w="80" w:type="dxa"/>
              <w:right w:w="80" w:type="dxa"/>
            </w:tcMar>
          </w:tcPr>
          <w:p>
            <w:pPr>
              <w:spacing w:line="264" w:lineRule="auto"/>
            </w:pPr>
            <w:r>
              <w:rPr>
                <w:sz w:val="18"/>
              </w:rPr>
              <w:t>Trabajos de grado de pregrado aprobados y proyectos de semillero tutelados.</w:t>
            </w:r>
          </w:p>
        </w:tc>
      </w:tr>
      <w:tr>
        <w:tc>
          <w:tcPr>
            <w:tcW w:type="dxa" w:w="1584"/>
            <w:shd w:fill="F8FAFC"/>
            <w:tcMar>
              <w:top w:w="60" w:type="dxa"/>
              <w:bottom w:w="60" w:type="dxa"/>
              <w:left w:w="80" w:type="dxa"/>
              <w:right w:w="80" w:type="dxa"/>
            </w:tcMar>
          </w:tcPr>
          <w:p>
            <w:pPr>
              <w:spacing w:line="264" w:lineRule="auto"/>
              <w:jc w:val="center"/>
            </w:pPr>
            <w:r>
              <w:rPr>
                <w:b/>
                <w:sz w:val="18"/>
              </w:rPr>
              <w:t>Cohe</w:t>
            </w:r>
          </w:p>
        </w:tc>
        <w:tc>
          <w:tcPr>
            <w:tcW w:type="dxa" w:w="2736"/>
            <w:shd w:fill="F8FAFC"/>
            <w:tcMar>
              <w:top w:w="60" w:type="dxa"/>
              <w:bottom w:w="60" w:type="dxa"/>
              <w:left w:w="80" w:type="dxa"/>
              <w:right w:w="80" w:type="dxa"/>
            </w:tcMar>
          </w:tcPr>
          <w:p>
            <w:pPr>
              <w:spacing w:line="264" w:lineRule="auto"/>
            </w:pPr>
            <w:r>
              <w:rPr>
                <w:sz w:val="18"/>
              </w:rPr>
              <w:t>Cohesión Grupal</w:t>
            </w:r>
          </w:p>
        </w:tc>
        <w:tc>
          <w:tcPr>
            <w:tcW w:type="dxa" w:w="1152"/>
            <w:shd w:fill="F8FAFC"/>
            <w:tcMar>
              <w:top w:w="60" w:type="dxa"/>
              <w:bottom w:w="60" w:type="dxa"/>
              <w:left w:w="80" w:type="dxa"/>
              <w:right w:w="80" w:type="dxa"/>
            </w:tcMar>
          </w:tcPr>
          <w:p>
            <w:pPr>
              <w:spacing w:line="264" w:lineRule="auto"/>
              <w:jc w:val="center"/>
            </w:pPr>
            <w:r>
              <w:rPr>
                <w:b/>
                <w:sz w:val="18"/>
              </w:rPr>
              <w:t>0.1</w:t>
            </w:r>
          </w:p>
        </w:tc>
        <w:tc>
          <w:tcPr>
            <w:tcW w:type="dxa" w:w="3888"/>
            <w:shd w:fill="F8FAFC"/>
            <w:tcMar>
              <w:top w:w="60" w:type="dxa"/>
              <w:bottom w:w="60" w:type="dxa"/>
              <w:left w:w="80" w:type="dxa"/>
              <w:right w:w="80" w:type="dxa"/>
            </w:tcMar>
          </w:tcPr>
          <w:p>
            <w:pPr>
              <w:spacing w:line="264" w:lineRule="auto"/>
            </w:pPr>
            <w:r>
              <w:rPr>
                <w:sz w:val="18"/>
              </w:rPr>
              <w:t>Tasa de coautoría y articulación interna entre los investigadores del mismo grupo.</w:t>
            </w:r>
          </w:p>
        </w:tc>
      </w:tr>
      <w:tr>
        <w:tc>
          <w:tcPr>
            <w:tcW w:type="dxa" w:w="1584"/>
            <w:shd w:fill="FFFFFF"/>
            <w:tcMar>
              <w:top w:w="60" w:type="dxa"/>
              <w:bottom w:w="60" w:type="dxa"/>
              <w:left w:w="80" w:type="dxa"/>
              <w:right w:w="80" w:type="dxa"/>
            </w:tcMar>
          </w:tcPr>
          <w:p>
            <w:pPr>
              <w:spacing w:line="264" w:lineRule="auto"/>
              <w:jc w:val="center"/>
            </w:pPr>
            <w:r>
              <w:rPr>
                <w:b/>
                <w:sz w:val="18"/>
              </w:rPr>
              <w:t>Coop</w:t>
            </w:r>
          </w:p>
        </w:tc>
        <w:tc>
          <w:tcPr>
            <w:tcW w:type="dxa" w:w="2736"/>
            <w:shd w:fill="FFFFFF"/>
            <w:tcMar>
              <w:top w:w="60" w:type="dxa"/>
              <w:bottom w:w="60" w:type="dxa"/>
              <w:left w:w="80" w:type="dxa"/>
              <w:right w:w="80" w:type="dxa"/>
            </w:tcMar>
          </w:tcPr>
          <w:p>
            <w:pPr>
              <w:spacing w:line="264" w:lineRule="auto"/>
            </w:pPr>
            <w:r>
              <w:rPr>
                <w:sz w:val="18"/>
              </w:rPr>
              <w:t>Cooperación Externa</w:t>
            </w:r>
          </w:p>
        </w:tc>
        <w:tc>
          <w:tcPr>
            <w:tcW w:type="dxa" w:w="1152"/>
            <w:shd w:fill="FFFFFF"/>
            <w:tcMar>
              <w:top w:w="60" w:type="dxa"/>
              <w:bottom w:w="60" w:type="dxa"/>
              <w:left w:w="80" w:type="dxa"/>
              <w:right w:w="80" w:type="dxa"/>
            </w:tcMar>
          </w:tcPr>
          <w:p>
            <w:pPr>
              <w:spacing w:line="264" w:lineRule="auto"/>
              <w:jc w:val="center"/>
            </w:pPr>
            <w:r>
              <w:rPr>
                <w:b/>
                <w:sz w:val="18"/>
              </w:rPr>
              <w:t>0.3</w:t>
            </w:r>
          </w:p>
        </w:tc>
        <w:tc>
          <w:tcPr>
            <w:tcW w:type="dxa" w:w="3888"/>
            <w:shd w:fill="FFFFFF"/>
            <w:tcMar>
              <w:top w:w="60" w:type="dxa"/>
              <w:bottom w:w="60" w:type="dxa"/>
              <w:left w:w="80" w:type="dxa"/>
              <w:right w:w="80" w:type="dxa"/>
            </w:tcMar>
          </w:tcPr>
          <w:p>
            <w:pPr>
              <w:spacing w:line="264" w:lineRule="auto"/>
            </w:pPr>
            <w:r>
              <w:rPr>
                <w:sz w:val="18"/>
              </w:rPr>
              <w:t>Vínculos de cooperación interinstitucional y redes internacionales de investigación.</w:t>
            </w:r>
          </w:p>
        </w:tc>
      </w:tr>
    </w:tbl>
    <w:p>
      <w:pPr>
        <w:pStyle w:val="Heading2"/>
      </w:pPr>
      <w:r>
        <w:t>3.2. Reglas de Validación y Filtrado Temporal</w:t>
      </w:r>
    </w:p>
    <w:p>
      <w:pPr>
        <w:pStyle w:val="ListBullet"/>
        <w:spacing w:line="276" w:lineRule="auto" w:after="80"/>
      </w:pPr>
      <w:r>
        <w:rPr>
          <w:b/>
          <w:color w:val="1B365D"/>
        </w:rPr>
        <w:t xml:space="preserve">Condición de Validez: </w:t>
      </w:r>
      <w:r>
        <w:t>Un producto únicamente suma al indicador si 'validado == True' y 'activo == True'. Si el producto no ha sido validado institucionalmente o fue dado de baja lógica, su puntaje asignado es estrictamente 0.00.</w:t>
      </w:r>
    </w:p>
    <w:p>
      <w:pPr>
        <w:pStyle w:val="ListBullet"/>
        <w:spacing w:line="276" w:lineRule="auto" w:after="80"/>
      </w:pPr>
      <w:r>
        <w:rPr>
          <w:b/>
          <w:color w:val="1B365D"/>
        </w:rPr>
        <w:t xml:space="preserve">Filtros Temporales por Año: </w:t>
      </w:r>
      <w:r>
        <w:t>El sistema soporta selección entre 'Todos los años', 'Últimos 5 años' (2020-2025) y 'Personalizado'. Si un producto tiene año de publicación fuera de la ventana evaluada, no aporta puntaje y se marca como 'Fuera de rango'.</w:t>
      </w:r>
    </w:p>
    <w:p>
      <w:pPr>
        <w:pStyle w:val="ListBullet"/>
        <w:spacing w:line="276" w:lineRule="auto" w:after="80"/>
      </w:pPr>
      <w:r>
        <w:rPr>
          <w:b/>
          <w:color w:val="1B365D"/>
        </w:rPr>
        <w:t xml:space="preserve">Validación de Consistencia: </w:t>
      </w:r>
      <w:r>
        <w:t>Si en el rango personalizado el año 'Desde' es mayor que el año 'Hasta', el sistema bloquea el cálculo y notifica al usuario sin intercambiar valores automáticamente.</w:t>
      </w:r>
    </w:p>
    <w:p>
      <w:pPr>
        <w:pStyle w:val="ListBullet"/>
        <w:spacing w:line="276" w:lineRule="auto" w:after="80"/>
      </w:pPr>
      <w:r>
        <w:rPr>
          <w:b/>
          <w:color w:val="1B365D"/>
        </w:rPr>
        <w:t xml:space="preserve">Retroalimentación ante Escenario Cero: </w:t>
      </w:r>
      <w:r>
        <w:t>Si ningún producto califica para la medición (por inactivos, no validados o fuera de rango), el indicador se sitúa en 0.00 y se despliega un mensaje explicativo detallando la causa exacta.</w:t>
      </w:r>
    </w:p>
    <w:p>
      <w:pPr>
        <w:pStyle w:val="Heading2"/>
      </w:pPr>
      <w:r>
        <w:t>3.3. Implementación en Python vs C++</w:t>
      </w:r>
    </w:p>
    <w:p>
      <w:pPr>
        <w:spacing w:line="276" w:lineRule="auto" w:after="160"/>
      </w:pPr>
      <w:r>
        <w:t>En Python, la lógica reside en el módulo indicadores.py y la pestaña indicadores_tab.py, con una función unificada calcular(silent) que evita discrepancias entre el cálculo manual y automático. En C++, la lógica reside en grupos.hpp mediante las funciones calcularIndicadorInvestigador() y calcularIndicadorGrupo(), las cuales recorren los punteros Nodo&lt;Producto&gt;* sobre memoria dinámica pura, garantizando congruencia matemática total (137.30 pts con 95 productos en el caso de prueba oficial).</w:t>
      </w:r>
    </w:p>
    <w:p>
      <w:r>
        <w:br w:type="page"/>
      </w:r>
    </w:p>
    <w:p>
      <w:pPr>
        <w:pStyle w:val="Heading1"/>
      </w:pPr>
      <w:r>
        <w:rPr>
          <w:rFonts w:ascii="Calibri" w:hAnsi="Calibri"/>
          <w:color w:val="1B365D"/>
        </w:rPr>
        <w:t>4. Evidencias de Ejecución y Capturas de Pantalla</w:t>
      </w:r>
    </w:p>
    <w:p>
      <w:pPr>
        <w:spacing w:line="276" w:lineRule="auto" w:after="160"/>
      </w:pPr>
      <w:r>
        <w:t>A continuación se disponen los espacios reservados para insertar las capturas de pantalla del sistema operando en sus diferentes entornos y casos de prueba: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80" w:after="40"/>
              <w:jc w:val="center"/>
            </w:pPr>
            <w:r>
              <w:rPr>
                <w:b/>
                <w:color w:val="1B365D"/>
                <w:sz w:val="20"/>
              </w:rPr>
              <w:t>📷 EVIDENCIA 1: PESTAÑA DE INDICADORES (PYTHON - CUSTOMTKINTER)</w:t>
              <w:br/>
            </w:r>
            <w:r>
              <w:rPr>
                <w:b/>
                <w:color w:val="C0392B"/>
                <w:sz w:val="22"/>
              </w:rPr>
              <w:t>[INSERTAR CAPTURA DE PANTALLA DE LA PESTAÑA DE INDICADORES AQUÍ]</w:t>
            </w:r>
          </w:p>
        </w:tc>
      </w:tr>
    </w:tbl>
    <w:p>
      <w:pPr>
        <w:spacing w:before="4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80" w:after="40"/>
              <w:jc w:val="center"/>
            </w:pPr>
            <w:r>
              <w:rPr>
                <w:b/>
                <w:color w:val="1B365D"/>
                <w:sz w:val="20"/>
              </w:rPr>
              <w:t>📷 EVIDENCIA 2: TABLA DE PRODUCTOS CON COLUMNA ESTADO (CUENTA / FUERA DE RANGO EN GRIS)</w:t>
              <w:br/>
            </w:r>
            <w:r>
              <w:rPr>
                <w:b/>
                <w:color w:val="C0392B"/>
                <w:sz w:val="22"/>
              </w:rPr>
              <w:t>[INSERTAR CAPTURA DE PANTALLA DE LA TABLA DE PRODUCTOS EVALUADOS Y EXCLUIDOS AQUÍ]</w:t>
            </w:r>
          </w:p>
        </w:tc>
      </w:tr>
    </w:tbl>
    <w:p>
      <w:pPr>
        <w:spacing w:before="4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80" w:after="40"/>
              <w:jc w:val="center"/>
            </w:pPr>
            <w:r>
              <w:rPr>
                <w:b/>
                <w:color w:val="1B365D"/>
                <w:sz w:val="20"/>
              </w:rPr>
              <w:t>📷 EVIDENCIA 3: CONSOLA C++17 CALCULANDO INDICADOR CON std::setw Y TABLAS ALINEADAS</w:t>
              <w:br/>
            </w:r>
            <w:r>
              <w:rPr>
                <w:b/>
                <w:color w:val="C0392B"/>
                <w:sz w:val="22"/>
              </w:rPr>
              <w:t>[INSERTAR CAPTURA DE PANTALLA DE LA EJECUCIÓN EN C++ EN TERMINAL AQUÍ]</w:t>
            </w:r>
          </w:p>
        </w:tc>
      </w:tr>
    </w:tbl>
    <w:p>
      <w:pPr>
        <w:spacing w:before="4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80" w:after="40"/>
              <w:jc w:val="center"/>
            </w:pPr>
            <w:r>
              <w:rPr>
                <w:b/>
                <w:color w:val="1B365D"/>
                <w:sz w:val="20"/>
              </w:rPr>
              <w:t>📷 EVIDENCIA 4: VALIDACIÓN FAIL-SAFE ANTE RANGO INVERTIDO O SELECCIÓN VACÍA</w:t>
              <w:br/>
            </w:r>
            <w:r>
              <w:rPr>
                <w:b/>
                <w:color w:val="C0392B"/>
                <w:sz w:val="22"/>
              </w:rPr>
              <w:t>[INSERTAR CAPTURA DE PANTALLA DEL MENSAJE DE VALIDACIÓN DE RANGO O SELECCIÓN AQUÍ]</w:t>
            </w:r>
          </w:p>
        </w:tc>
      </w:tr>
    </w:tbl>
    <w:p>
      <w:pPr>
        <w:spacing w:before="40" w:after="120"/>
      </w:pPr>
    </w:p>
    <w:p>
      <w:r>
        <w:br w:type="page"/>
      </w:r>
    </w:p>
    <w:p>
      <w:pPr>
        <w:pStyle w:val="Heading1"/>
      </w:pPr>
      <w:r>
        <w:rPr>
          <w:rFonts w:ascii="Calibri" w:hAnsi="Calibri"/>
          <w:color w:val="1B365D"/>
        </w:rPr>
        <w:t>5. Conclusiones</w:t>
      </w:r>
    </w:p>
    <w:p>
      <w:pPr>
        <w:pStyle w:val="ListBullet"/>
        <w:spacing w:line="276" w:lineRule="auto" w:after="160"/>
      </w:pPr>
      <w:r>
        <w:t>El uso de estructuras de datos construidas a mano (Multilistas, Pilas y Colas) demuestra que es plenamente viable gestionar modelos de información complejos y de gran escala sin depender de motores de bases de datos relacionales externos, manteniendo un control milimétrico sobre el tiempo de ejecución y la ocupación de memoria.</w:t>
      </w:r>
    </w:p>
    <w:p>
      <w:pPr>
        <w:pStyle w:val="ListBullet"/>
        <w:spacing w:line="276" w:lineRule="auto" w:after="160"/>
      </w:pPr>
      <w:r>
        <w:t>La integración del modelo de MinCiencias Colombia (Modelo 2024) dentro de estructuras dinámicas vincula la teoría fundamental de estructuras de datos con la realidad de la investigación científica nacional, permitiendo auditar convocatorias de categorización con rigor matemático.</w:t>
      </w:r>
    </w:p>
    <w:p>
      <w:pPr>
        <w:pStyle w:val="ListBullet"/>
        <w:spacing w:line="276" w:lineRule="auto" w:after="160"/>
      </w:pPr>
      <w:r>
        <w:t>El desarrollo dual en Python y C++ refuerza las competencias de abstracción, permitiendo comparar el enfoque visual y dinámico de alto nivel frente a la gestión manual de punteros y memoria dinámica en C++17, logrando perfecta paridad y congruencia en los resultados numéricos.</w:t>
      </w:r>
    </w:p>
    <w:p>
      <w:pPr>
        <w:pStyle w:val="ListBullet"/>
        <w:spacing w:line="276" w:lineRule="auto" w:after="160"/>
      </w:pPr>
      <w:r>
        <w:t>La estandarización formal bajo IEEE 830-1998 consolida una metodología de ingeniería de software profesional, asegurando que cada funcionalidad (desde el filtrado de años hasta la reversión por pila) responda a criterios de aceptación verificables y reproducibles.</w:t>
      </w:r>
    </w:p>
    <w:p>
      <w:pPr>
        <w:spacing w:before="600" w:after="80"/>
        <w:jc w:val="center"/>
      </w:pPr>
      <w:r>
        <w:rPr>
          <w:i/>
          <w:color w:val="64748B"/>
          <w:sz w:val="20"/>
        </w:rPr>
        <w:t>— Fin del Documento de Especificación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