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8354A9"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062EED">
        <w:rPr>
          <w:noProof/>
        </w:rPr>
        <w:t>15</w:t>
      </w:r>
      <w:r>
        <w:rPr>
          <w:lang w:val="en-US"/>
        </w:rPr>
        <w:fldChar w:fldCharType="end"/>
      </w:r>
      <w:r w:rsidR="008354A9" w:rsidRPr="008354A9">
        <w:t>,</w:t>
      </w:r>
      <w:r w:rsidR="0052769F" w:rsidRPr="008354A9">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062EED">
        <w:rPr>
          <w:noProof/>
          <w:lang w:val="en-US"/>
        </w:rPr>
        <w:t>2013-05-24</w:t>
      </w:r>
      <w:r w:rsidR="0052769F">
        <w:rPr>
          <w:lang w:val="en-US"/>
        </w:rPr>
        <w:fldChar w:fldCharType="end"/>
      </w:r>
      <w:r w:rsidR="008354A9" w:rsidRPr="008354A9">
        <w:br/>
      </w:r>
      <w:r w:rsidR="008354A9" w:rsidRPr="00625B45">
        <w:t>Esri R&amp;D Center Zurich</w:t>
      </w:r>
      <w:r w:rsidR="0052769F" w:rsidRPr="008354A9">
        <w:t xml:space="preserve"> </w:t>
      </w:r>
    </w:p>
    <w:p w:rsidR="0052769F" w:rsidRPr="00567FEF" w:rsidRDefault="00567FEF">
      <w:pPr>
        <w:rPr>
          <w:lang w:val="en-US"/>
        </w:rPr>
      </w:pPr>
      <w:r w:rsidRPr="00567FEF">
        <w:rPr>
          <w:lang w:val="en-US"/>
        </w:rPr>
        <w:t>This document specifies the delivery fo</w:t>
      </w:r>
      <w:bookmarkStart w:id="0" w:name="_GoBack"/>
      <w:bookmarkEnd w:id="0"/>
      <w:r w:rsidRPr="00567FEF">
        <w:rPr>
          <w:lang w:val="en-US"/>
        </w:rPr>
        <w:t xml:space="preserve">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 conceptual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caches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caches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lastRenderedPageBreak/>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w:t>
      </w:r>
      <w:r w:rsidR="00417196">
        <w:rPr>
          <w:lang w:val="en-US"/>
        </w:rPr>
        <w:lastRenderedPageBreak/>
        <w:t>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5C2680" w:rsidRPr="00597107" w:rsidRDefault="005C2680"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D02588">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r>
        <w:rPr>
          <w:lang w:val="en-US"/>
        </w:rPr>
        <w:t>Level of Detail Concept</w:t>
      </w:r>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1839"/>
        <w:gridCol w:w="1916"/>
        <w:gridCol w:w="3077"/>
      </w:tblGrid>
      <w:tr w:rsidR="005A230C" w:rsidRPr="00E2749F" w:rsidTr="005A230C">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183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191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077"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5A230C">
        <w:trPr>
          <w:trHeight w:val="2135"/>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183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191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077"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7E50F67" wp14:editId="198C9F1D">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5A230C">
        <w:trPr>
          <w:trHeight w:val="160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183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proofErr w:type="spellStart"/>
            <w:r w:rsidRPr="00E2749F">
              <w:rPr>
                <w:lang w:val="en-US"/>
              </w:rPr>
              <w:t>continously</w:t>
            </w:r>
            <w:proofErr w:type="spellEnd"/>
          </w:p>
        </w:tc>
        <w:tc>
          <w:tcPr>
            <w:tcW w:w="191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077"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518F787F" wp14:editId="080E89F0">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5A230C">
        <w:trPr>
          <w:trHeight w:val="1027"/>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lastRenderedPageBreak/>
              <w:t>Semantic</w:t>
            </w:r>
          </w:p>
        </w:tc>
        <w:tc>
          <w:tcPr>
            <w:tcW w:w="183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191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077"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60DFF21" wp14:editId="32014132">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supports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D02588" w:rsidRPr="00D02588"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tree has a single root feature, which has a set of n </w:t>
      </w:r>
      <w:proofErr w:type="spellStart"/>
      <w:r w:rsidRPr="000B6081">
        <w:rPr>
          <w:rStyle w:val="SourceCodeBlockChar"/>
        </w:rPr>
        <w:t>lodChildren</w:t>
      </w:r>
      <w:proofErr w:type="spellEnd"/>
      <w:r>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4BBC27A3" wp14:editId="0C496D69">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Pr="00D02588">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drawing>
          <wp:anchor distT="0" distB="0" distL="114300" distR="114300" simplePos="0" relativeHeight="251661312" behindDoc="0" locked="0" layoutInCell="1" allowOverlap="1" wp14:anchorId="37360A25" wp14:editId="2F2FF02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xml:space="preserve">, each node carries a single feature, for a total count of six nodes and six features.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C66B17" w:rsidP="00C66B17">
      <w:pPr>
        <w:rPr>
          <w:lang w:val="en-US"/>
        </w:rPr>
      </w:pPr>
      <w:r>
        <w:rPr>
          <w:lang w:val="en-US"/>
        </w:rPr>
        <w:lastRenderedPageBreak/>
        <w:t>Such data is either created during the cache creation process or pre</w:t>
      </w:r>
      <w:r w:rsidRPr="00C66B17">
        <w:rPr>
          <w:lang w:val="en-US"/>
        </w:rPr>
        <w:t xml:space="preserve">defined by </w:t>
      </w:r>
      <w:r>
        <w:rPr>
          <w:lang w:val="en-US"/>
        </w:rPr>
        <w:t xml:space="preserve">the </w:t>
      </w:r>
      <w:r w:rsidRPr="00C66B17">
        <w:rPr>
          <w:lang w:val="en-US"/>
        </w:rPr>
        <w:t>data provider</w:t>
      </w:r>
      <w:r>
        <w:rPr>
          <w:lang w:val="en-US"/>
        </w:rPr>
        <w:t>, as it is the case with Acute3D data.</w:t>
      </w:r>
    </w:p>
    <w:p w:rsidR="00C66B17" w:rsidRDefault="00C66B17" w:rsidP="00C66B17">
      <w:pPr>
        <w:rPr>
          <w:lang w:val="en-US"/>
        </w:rPr>
      </w:pPr>
    </w:p>
    <w:p w:rsidR="00C66B17" w:rsidRDefault="00C66B17" w:rsidP="00C66B17">
      <w:pPr>
        <w:rPr>
          <w:lang w:val="en-US"/>
        </w:rPr>
      </w:pPr>
    </w:p>
    <w:p w:rsidR="00C66B17" w:rsidRDefault="00C66B17" w:rsidP="00C66B17">
      <w:pPr>
        <w:rPr>
          <w:lang w:val="en-US"/>
        </w:rPr>
      </w:pPr>
      <w:r>
        <w:rPr>
          <w:lang w:val="en-US"/>
        </w:rPr>
        <w:br/>
      </w:r>
    </w:p>
    <w:p w:rsidR="007C2CAA" w:rsidRDefault="007C2CAA" w:rsidP="00567FEF">
      <w:pPr>
        <w:pStyle w:val="Heading1"/>
        <w:rPr>
          <w:lang w:val="en-US"/>
        </w:rPr>
      </w:pPr>
      <w:r>
        <w:rPr>
          <w:lang w:val="en-US"/>
        </w:rPr>
        <w:t>Coordinate Reference Systems</w:t>
      </w:r>
    </w:p>
    <w:p w:rsidR="007C2CAA" w:rsidRDefault="007C2CAA" w:rsidP="007C2CAA">
      <w:pPr>
        <w:rPr>
          <w:lang w:val="en-US"/>
        </w:rPr>
      </w:pPr>
      <w:proofErr w:type="gramStart"/>
      <w:r>
        <w:rPr>
          <w:lang w:val="en-US"/>
        </w:rPr>
        <w:t>i3s</w:t>
      </w:r>
      <w:proofErr w:type="gramEnd"/>
      <w:r>
        <w:rPr>
          <w:lang w:val="en-US"/>
        </w:rPr>
        <w:t xml:space="preserve"> Caches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Support very large 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Render easily in Scene and Globe modus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EPSG32760 (UTM)</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EPSG:3395 (World Mercator) for very large extent datasets (~12° to 360° horizontal extent)</w:t>
      </w:r>
    </w:p>
    <w:p w:rsidR="007C2CAA" w:rsidRPr="007C2CAA" w:rsidRDefault="007C2CAA" w:rsidP="007C2CAA">
      <w:pPr>
        <w:rPr>
          <w:lang w:val="en-US"/>
        </w:rPr>
      </w:pPr>
    </w:p>
    <w:p w:rsidR="00567FEF" w:rsidRDefault="00A30B23" w:rsidP="00567FEF">
      <w:pPr>
        <w:pStyle w:val="Heading1"/>
        <w:rPr>
          <w:lang w:val="en-US"/>
        </w:rPr>
      </w:pPr>
      <w:r>
        <w:rPr>
          <w:lang w:val="en-US"/>
        </w:rPr>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lastRenderedPageBreak/>
        <w:drawing>
          <wp:inline distT="0" distB="0" distL="0" distR="0" wp14:anchorId="5B14622D" wp14:editId="380743F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D02588">
        <w:rPr>
          <w:noProof/>
          <w:lang w:val="en-US"/>
        </w:rPr>
        <w:t>3</w:t>
      </w:r>
      <w:r>
        <w:fldChar w:fldCharType="end"/>
      </w:r>
      <w:r w:rsidRPr="00F044F0">
        <w:rPr>
          <w:lang w:val="en-US"/>
        </w:rPr>
        <w:t>: Structure of a single</w:t>
      </w:r>
      <w:r w:rsidRPr="00F044F0">
        <w:rPr>
          <w:noProof/>
          <w:lang w:val="en-US"/>
        </w:rPr>
        <w:t xml:space="preserve"> Node and its attached Resources</w:t>
      </w:r>
    </w:p>
    <w:p w:rsidR="00742D34"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For Textures, a number of Texture </w:t>
      </w:r>
      <w:proofErr w:type="spellStart"/>
      <w:r w:rsidR="00F044F0">
        <w:rPr>
          <w:lang w:val="en-US"/>
        </w:rPr>
        <w:t>LoD</w:t>
      </w:r>
      <w:proofErr w:type="spellEnd"/>
      <w:r w:rsidR="00F044F0">
        <w:rPr>
          <w:lang w:val="en-US"/>
        </w:rPr>
        <w:t xml:space="preserve"> steps (</w:t>
      </w:r>
      <w:proofErr w:type="spellStart"/>
      <w:r w:rsidR="00F044F0" w:rsidRPr="00F044F0">
        <w:rPr>
          <w:b/>
          <w:i/>
          <w:lang w:val="en-US"/>
        </w:rPr>
        <w:t>TexLoD</w:t>
      </w:r>
      <w:proofErr w:type="spellEnd"/>
      <w:r w:rsidR="00F044F0">
        <w:rPr>
          <w:lang w:val="en-US"/>
        </w:rPr>
        <w:t>) can be set during i3s generation</w:t>
      </w:r>
      <w:r w:rsidR="00036245">
        <w:rPr>
          <w:lang w:val="en-US"/>
        </w:rPr>
        <w:t>, where each added level will have half the resolution of the texture level of detail before</w:t>
      </w:r>
      <w:r w:rsidR="00F044F0">
        <w:rPr>
          <w:lang w:val="en-US"/>
        </w:rPr>
        <w:t xml:space="preserve">. The number of Texture resources created is then equal </w:t>
      </w:r>
      <w:r w:rsidR="00F044F0" w:rsidRPr="00F044F0">
        <w:rPr>
          <w:b/>
          <w:i/>
          <w:lang w:val="en-US"/>
        </w:rPr>
        <w:t>n*</w:t>
      </w:r>
      <w:proofErr w:type="spellStart"/>
      <w:r w:rsidR="00F044F0" w:rsidRPr="00F044F0">
        <w:rPr>
          <w:b/>
          <w:i/>
          <w:lang w:val="en-US"/>
        </w:rPr>
        <w:t>TexLoD</w:t>
      </w:r>
      <w:proofErr w:type="spellEnd"/>
      <w:r w:rsidR="00256A94" w:rsidRPr="00256A94">
        <w:t xml:space="preserve"> (if all features have textures)</w:t>
      </w:r>
      <w:r w:rsidR="00F044F0">
        <w:rPr>
          <w:lang w:val="en-US"/>
        </w:rPr>
        <w:t>.</w:t>
      </w:r>
      <w:r w:rsidR="001E0B97">
        <w:rPr>
          <w:lang w:val="en-US"/>
        </w:rPr>
        <w:t xml:space="preserve"> The following figure illustrates an example set of bundles within a node:</w:t>
      </w:r>
    </w:p>
    <w:p w:rsidR="001E0B97" w:rsidRPr="00CA7D2C" w:rsidRDefault="001E0B97" w:rsidP="00CA7D2C">
      <w:pPr>
        <w:rPr>
          <w:lang w:val="en-US"/>
        </w:rPr>
      </w:pPr>
      <w:r>
        <w:rPr>
          <w:noProof/>
        </w:rPr>
        <w:drawing>
          <wp:inline distT="0" distB="0" distL="0" distR="0" wp14:anchorId="76F75FB5" wp14:editId="0B1F8FB4">
            <wp:extent cx="5445149" cy="3136303"/>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5053" cy="3136248"/>
                    </a:xfrm>
                    <a:prstGeom prst="rect">
                      <a:avLst/>
                    </a:prstGeom>
                    <a:noFill/>
                  </pic:spPr>
                </pic:pic>
              </a:graphicData>
            </a:graphic>
          </wp:inline>
        </w:drawing>
      </w:r>
    </w:p>
    <w:p w:rsidR="00567FEF" w:rsidRDefault="00567FEF" w:rsidP="00567FEF">
      <w:pPr>
        <w:pStyle w:val="Heading1"/>
        <w:rPr>
          <w:lang w:val="en-US"/>
        </w:rPr>
      </w:pPr>
      <w:r>
        <w:rPr>
          <w:lang w:val="en-US"/>
        </w:rPr>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lastRenderedPageBreak/>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Default="00B24D63" w:rsidP="00567FEF">
      <w:r>
        <w:rPr>
          <w:noProof/>
        </w:rPr>
        <w:drawing>
          <wp:inline distT="0" distB="0" distL="0" distR="0">
            <wp:extent cx="5506720" cy="213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720" cy="2138045"/>
                    </a:xfrm>
                    <a:prstGeom prst="rect">
                      <a:avLst/>
                    </a:prstGeom>
                    <a:noFill/>
                    <a:ln>
                      <a:noFill/>
                    </a:ln>
                  </pic:spPr>
                </pic:pic>
              </a:graphicData>
            </a:graphic>
          </wp:inline>
        </w:drawing>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385058">
        <w:rPr>
          <w:noProof/>
          <w:lang w:val="en-US"/>
        </w:rPr>
        <w:t>4</w:t>
      </w:r>
      <w:r>
        <w:fldChar w:fldCharType="end"/>
      </w:r>
      <w:r w:rsidRPr="00017784">
        <w:rPr>
          <w:lang w:val="en-US"/>
        </w:rPr>
        <w:t xml:space="preserve">: Logical format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w:t>
      </w:r>
      <w:r>
        <w:rPr>
          <w:lang w:val="en-US"/>
        </w:rPr>
        <w:t xml:space="preserve">running </w:t>
      </w:r>
      <w:proofErr w:type="spellStart"/>
      <w:r>
        <w:rPr>
          <w:lang w:val="en-US"/>
        </w:rPr>
        <w:t>SceneService</w:t>
      </w:r>
      <w:proofErr w:type="spellEnd"/>
      <w:r>
        <w:rPr>
          <w:lang w:val="en-US"/>
        </w:rPr>
        <w:t xml:space="preserve"> instance</w:t>
      </w:r>
      <w:r>
        <w:rPr>
          <w:lang w:val="en-US"/>
        </w:rPr>
        <w:t xml:space="preserv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704FE3">
            <w:pPr>
              <w:rPr>
                <w:lang w:val="en-US"/>
              </w:rPr>
            </w:pPr>
            <w:r>
              <w:rPr>
                <w:lang w:val="en-US"/>
              </w:rPr>
              <w:t>Name</w:t>
            </w:r>
          </w:p>
        </w:tc>
        <w:tc>
          <w:tcPr>
            <w:tcW w:w="1512" w:type="dxa"/>
          </w:tcPr>
          <w:p w:rsidR="00060609" w:rsidRDefault="00060609" w:rsidP="00704FE3">
            <w:pPr>
              <w:rPr>
                <w:lang w:val="en-US"/>
              </w:rPr>
            </w:pPr>
            <w:r>
              <w:rPr>
                <w:lang w:val="en-US"/>
              </w:rPr>
              <w:t>Type</w:t>
            </w:r>
          </w:p>
        </w:tc>
        <w:tc>
          <w:tcPr>
            <w:tcW w:w="5641" w:type="dxa"/>
          </w:tcPr>
          <w:p w:rsidR="00060609" w:rsidRDefault="00060609" w:rsidP="00704FE3">
            <w:pPr>
              <w:rPr>
                <w:lang w:val="en-US"/>
              </w:rPr>
            </w:pPr>
            <w:r>
              <w:rPr>
                <w:lang w:val="en-US"/>
              </w:rPr>
              <w:t>Description</w:t>
            </w:r>
          </w:p>
        </w:tc>
      </w:tr>
      <w:tr w:rsidR="00060609" w:rsidRPr="001E0B9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704FE3">
            <w:pPr>
              <w:rPr>
                <w:lang w:val="en-US"/>
              </w:rPr>
            </w:pPr>
            <w:proofErr w:type="spellStart"/>
            <w:r>
              <w:rPr>
                <w:lang w:val="en-US"/>
              </w:rPr>
              <w:t>serviceName</w:t>
            </w:r>
            <w:proofErr w:type="spellEnd"/>
          </w:p>
        </w:tc>
        <w:tc>
          <w:tcPr>
            <w:tcW w:w="1512" w:type="dxa"/>
          </w:tcPr>
          <w:p w:rsidR="00060609" w:rsidRDefault="00060609" w:rsidP="00704FE3">
            <w:pPr>
              <w:rPr>
                <w:lang w:val="en-US"/>
              </w:rPr>
            </w:pPr>
            <w:r>
              <w:rPr>
                <w:lang w:val="en-US"/>
              </w:rPr>
              <w:t>string</w:t>
            </w:r>
          </w:p>
        </w:tc>
        <w:tc>
          <w:tcPr>
            <w:tcW w:w="5641" w:type="dxa"/>
          </w:tcPr>
          <w:p w:rsidR="00060609" w:rsidRDefault="00060609" w:rsidP="00060609">
            <w:pPr>
              <w:rPr>
                <w:lang w:val="en-US"/>
              </w:rPr>
            </w:pPr>
            <w:r>
              <w:rPr>
                <w:lang w:val="en-US"/>
              </w:rPr>
              <w:t xml:space="preserve">The </w:t>
            </w:r>
            <w:r w:rsidRPr="00060609">
              <w:rPr>
                <w:lang w:val="en-US"/>
              </w:rPr>
              <w:t>type of the service; always 3dSceneService.</w:t>
            </w:r>
          </w:p>
        </w:tc>
      </w:tr>
      <w:tr w:rsidR="00060609" w:rsidRPr="001E0B97" w:rsidTr="00060609">
        <w:tc>
          <w:tcPr>
            <w:tcW w:w="2135" w:type="dxa"/>
          </w:tcPr>
          <w:p w:rsidR="00060609" w:rsidRDefault="00060609" w:rsidP="00704FE3">
            <w:pPr>
              <w:rPr>
                <w:lang w:val="en-US"/>
              </w:rPr>
            </w:pPr>
            <w:proofErr w:type="spellStart"/>
            <w:r>
              <w:rPr>
                <w:lang w:val="en-US"/>
              </w:rPr>
              <w:t>serviceVersion</w:t>
            </w:r>
            <w:proofErr w:type="spellEnd"/>
          </w:p>
        </w:tc>
        <w:tc>
          <w:tcPr>
            <w:tcW w:w="1512" w:type="dxa"/>
          </w:tcPr>
          <w:p w:rsidR="00060609" w:rsidRDefault="00060609" w:rsidP="00704FE3">
            <w:pPr>
              <w:rPr>
                <w:lang w:val="en-US"/>
              </w:rPr>
            </w:pPr>
            <w:r>
              <w:rPr>
                <w:lang w:val="en-US"/>
              </w:rPr>
              <w:t>S</w:t>
            </w:r>
            <w:r>
              <w:rPr>
                <w:lang w:val="en-US"/>
              </w:rPr>
              <w:t>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1E0B97"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704FE3">
            <w:pPr>
              <w:rPr>
                <w:lang w:val="en-US"/>
              </w:rPr>
            </w:pPr>
            <w:proofErr w:type="spellStart"/>
            <w:r>
              <w:rPr>
                <w:lang w:val="en-US"/>
              </w:rPr>
              <w:t>supportedBindings</w:t>
            </w:r>
            <w:proofErr w:type="spellEnd"/>
          </w:p>
        </w:tc>
        <w:tc>
          <w:tcPr>
            <w:tcW w:w="1512" w:type="dxa"/>
          </w:tcPr>
          <w:p w:rsidR="00060609" w:rsidRDefault="00060609" w:rsidP="00704FE3">
            <w:pPr>
              <w:rPr>
                <w:lang w:val="en-US"/>
              </w:rPr>
            </w:pPr>
            <w:proofErr w:type="gramStart"/>
            <w:r>
              <w:rPr>
                <w:lang w:val="en-US"/>
              </w:rPr>
              <w:t>S</w:t>
            </w:r>
            <w:r>
              <w:rPr>
                <w:lang w:val="en-US"/>
              </w:rPr>
              <w:t>tring</w:t>
            </w:r>
            <w:r>
              <w:rPr>
                <w:lang w:val="en-US"/>
              </w:rPr>
              <w:t>[</w:t>
            </w:r>
            <w:proofErr w:type="gramEnd"/>
            <w:r>
              <w:rPr>
                <w:lang w:val="en-US"/>
              </w:rPr>
              <w:t>1..*]</w:t>
            </w:r>
          </w:p>
        </w:tc>
        <w:tc>
          <w:tcPr>
            <w:tcW w:w="5641" w:type="dxa"/>
          </w:tcPr>
          <w:p w:rsidR="00060609" w:rsidRDefault="00060609" w:rsidP="00704FE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1E0B97" w:rsidTr="00060609">
        <w:tc>
          <w:tcPr>
            <w:tcW w:w="2135" w:type="dxa"/>
          </w:tcPr>
          <w:p w:rsidR="00060609" w:rsidRDefault="00060609" w:rsidP="00704FE3">
            <w:pPr>
              <w:rPr>
                <w:lang w:val="en-US"/>
              </w:rPr>
            </w:pPr>
            <w:proofErr w:type="spellStart"/>
            <w:r>
              <w:rPr>
                <w:lang w:val="en-US"/>
              </w:rPr>
              <w:t>supportedOperations</w:t>
            </w:r>
            <w:proofErr w:type="spellEnd"/>
          </w:p>
        </w:tc>
        <w:tc>
          <w:tcPr>
            <w:tcW w:w="1512" w:type="dxa"/>
          </w:tcPr>
          <w:p w:rsidR="00060609" w:rsidRDefault="00060609" w:rsidP="00704FE3">
            <w:pPr>
              <w:rPr>
                <w:lang w:val="en-US"/>
              </w:rPr>
            </w:pPr>
            <w:r>
              <w:rPr>
                <w:lang w:val="en-US"/>
              </w:rPr>
              <w:t>S</w:t>
            </w:r>
            <w:r>
              <w:rPr>
                <w:lang w:val="en-US"/>
              </w:rPr>
              <w:t>tring</w:t>
            </w:r>
            <w:r>
              <w:rPr>
                <w:lang w:val="en-US"/>
              </w:rPr>
              <w:t>[1..3]</w:t>
            </w:r>
          </w:p>
        </w:tc>
        <w:tc>
          <w:tcPr>
            <w:tcW w:w="5641" w:type="dxa"/>
          </w:tcPr>
          <w:p w:rsidR="00060609" w:rsidRDefault="00060609" w:rsidP="00704FE3">
            <w:pPr>
              <w:rPr>
                <w:lang w:val="en-US"/>
              </w:rPr>
            </w:pPr>
            <w:r>
              <w:rPr>
                <w:lang w:val="en-US"/>
              </w:rPr>
              <w:t>S</w:t>
            </w:r>
            <w:r w:rsidRPr="00060609">
              <w:rPr>
                <w:lang w:val="en-US"/>
              </w:rPr>
              <w:t>upported profiles of the service</w:t>
            </w:r>
            <w:r>
              <w:rPr>
                <w:lang w:val="en-US"/>
              </w:rPr>
              <w:t xml:space="preserve"> from the choice {</w:t>
            </w:r>
            <w:r w:rsidRPr="00060609">
              <w:rPr>
                <w:lang w:val="en-US"/>
              </w:rPr>
              <w:t>"Base", "Dynamic", "Editing"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3</w:t>
      </w:r>
      <w:r>
        <w:fldChar w:fldCharType="end"/>
      </w:r>
      <w:r w:rsidRPr="00597107">
        <w:rPr>
          <w:lang w:val="en-US"/>
        </w:rPr>
        <w:t xml:space="preserve">: </w:t>
      </w:r>
      <w:r>
        <w:rPr>
          <w:lang w:val="en-US"/>
        </w:rPr>
        <w:t xml:space="preserve">Attributes of the Class </w:t>
      </w:r>
      <w:r>
        <w:rPr>
          <w:lang w:val="en-US"/>
        </w:rPr>
        <w:t>3dSceneServiceInfo</w:t>
      </w:r>
      <w:r>
        <w:rPr>
          <w:lang w:val="en-US"/>
        </w:rPr>
        <w:t xml:space="preserve"> within the 3dSceneServiceInfo</w:t>
      </w:r>
      <w:r>
        <w:rPr>
          <w:lang w:val="en-US"/>
        </w:rPr>
        <w:t xml:space="preserve"> document</w:t>
      </w:r>
    </w:p>
    <w:p w:rsidR="00644E7E" w:rsidRDefault="00644E7E" w:rsidP="00644E7E">
      <w:pPr>
        <w:pStyle w:val="Heading3"/>
        <w:rPr>
          <w:lang w:val="en-US"/>
        </w:rPr>
      </w:pPr>
      <w:r>
        <w:rPr>
          <w:lang w:val="en-US"/>
        </w:rPr>
        <w:t xml:space="preserve">Class </w:t>
      </w:r>
      <w:r>
        <w:rPr>
          <w:lang w:val="en-US"/>
        </w:rPr>
        <w:t>Layer</w:t>
      </w:r>
    </w:p>
    <w:p w:rsidR="00644E7E" w:rsidRPr="00303E6C" w:rsidRDefault="00644E7E" w:rsidP="00644E7E">
      <w:pPr>
        <w:rPr>
          <w:lang w:val="en-US"/>
        </w:rPr>
      </w:pPr>
      <w:r>
        <w:rPr>
          <w:lang w:val="en-US"/>
        </w:rPr>
        <w:t>I</w:t>
      </w:r>
      <w:r>
        <w:rPr>
          <w:lang w:val="en-US"/>
        </w:rPr>
        <w:t>n the 3dSceneServiceInfo document</w:t>
      </w:r>
      <w:r>
        <w:rPr>
          <w:lang w:val="en-US"/>
        </w:rPr>
        <w:t>, the Layer object provides a reference so that clients know which Layers are served by a given service</w:t>
      </w:r>
      <w:r>
        <w:rPr>
          <w:lang w:val="en-US"/>
        </w:rPr>
        <w:t xml:space="preserve">. </w:t>
      </w:r>
    </w:p>
    <w:tbl>
      <w:tblPr>
        <w:tblStyle w:val="MediumGrid3-Accent3"/>
        <w:tblW w:w="0" w:type="auto"/>
        <w:tblLook w:val="0420" w:firstRow="1" w:lastRow="0" w:firstColumn="0" w:lastColumn="0" w:noHBand="0" w:noVBand="1"/>
      </w:tblPr>
      <w:tblGrid>
        <w:gridCol w:w="2135"/>
        <w:gridCol w:w="1512"/>
        <w:gridCol w:w="5641"/>
      </w:tblGrid>
      <w:tr w:rsidR="00644E7E" w:rsidTr="00704FE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704FE3">
            <w:pPr>
              <w:rPr>
                <w:lang w:val="en-US"/>
              </w:rPr>
            </w:pPr>
            <w:r>
              <w:rPr>
                <w:lang w:val="en-US"/>
              </w:rPr>
              <w:t>Name</w:t>
            </w:r>
          </w:p>
        </w:tc>
        <w:tc>
          <w:tcPr>
            <w:tcW w:w="1512" w:type="dxa"/>
          </w:tcPr>
          <w:p w:rsidR="00644E7E" w:rsidRDefault="00644E7E" w:rsidP="00704FE3">
            <w:pPr>
              <w:rPr>
                <w:lang w:val="en-US"/>
              </w:rPr>
            </w:pPr>
            <w:r>
              <w:rPr>
                <w:lang w:val="en-US"/>
              </w:rPr>
              <w:t>Type</w:t>
            </w:r>
          </w:p>
        </w:tc>
        <w:tc>
          <w:tcPr>
            <w:tcW w:w="5641" w:type="dxa"/>
          </w:tcPr>
          <w:p w:rsidR="00644E7E" w:rsidRDefault="00644E7E" w:rsidP="00704FE3">
            <w:pPr>
              <w:rPr>
                <w:lang w:val="en-US"/>
              </w:rPr>
            </w:pPr>
            <w:r>
              <w:rPr>
                <w:lang w:val="en-US"/>
              </w:rPr>
              <w:t>Description</w:t>
            </w:r>
          </w:p>
        </w:tc>
      </w:tr>
      <w:tr w:rsidR="00644E7E"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704FE3">
            <w:pPr>
              <w:rPr>
                <w:lang w:val="en-US"/>
              </w:rPr>
            </w:pPr>
            <w:r>
              <w:rPr>
                <w:lang w:val="en-US"/>
              </w:rPr>
              <w:t>id</w:t>
            </w:r>
          </w:p>
        </w:tc>
        <w:tc>
          <w:tcPr>
            <w:tcW w:w="1512" w:type="dxa"/>
          </w:tcPr>
          <w:p w:rsidR="00644E7E" w:rsidRDefault="00644E7E" w:rsidP="00704FE3">
            <w:pPr>
              <w:rPr>
                <w:lang w:val="en-US"/>
              </w:rPr>
            </w:pPr>
            <w:r>
              <w:rPr>
                <w:lang w:val="en-US"/>
              </w:rPr>
              <w:t>long</w:t>
            </w:r>
          </w:p>
        </w:tc>
        <w:tc>
          <w:tcPr>
            <w:tcW w:w="5641" w:type="dxa"/>
          </w:tcPr>
          <w:p w:rsidR="00644E7E" w:rsidRDefault="00644E7E" w:rsidP="00704FE3">
            <w:pPr>
              <w:rPr>
                <w:lang w:val="en-US"/>
              </w:rPr>
            </w:pPr>
            <w:r>
              <w:rPr>
                <w:lang w:val="en-US"/>
              </w:rPr>
              <w:t>T</w:t>
            </w:r>
            <w:r w:rsidRPr="00644E7E">
              <w:rPr>
                <w:lang w:val="en-US"/>
              </w:rPr>
              <w:t>he ID of this layer, unique within a 3dSceneService.</w:t>
            </w:r>
          </w:p>
        </w:tc>
      </w:tr>
      <w:tr w:rsidR="00644E7E" w:rsidRPr="001E0B97" w:rsidTr="00704FE3">
        <w:tc>
          <w:tcPr>
            <w:tcW w:w="2135" w:type="dxa"/>
          </w:tcPr>
          <w:p w:rsidR="00644E7E" w:rsidRDefault="00644E7E" w:rsidP="00704FE3">
            <w:pPr>
              <w:rPr>
                <w:lang w:val="en-US"/>
              </w:rPr>
            </w:pPr>
            <w:r>
              <w:rPr>
                <w:lang w:val="en-US"/>
              </w:rPr>
              <w:t>name</w:t>
            </w:r>
          </w:p>
        </w:tc>
        <w:tc>
          <w:tcPr>
            <w:tcW w:w="1512" w:type="dxa"/>
          </w:tcPr>
          <w:p w:rsidR="00644E7E" w:rsidRDefault="00644E7E" w:rsidP="00704FE3">
            <w:pPr>
              <w:rPr>
                <w:lang w:val="en-US"/>
              </w:rPr>
            </w:pPr>
            <w:r>
              <w:rPr>
                <w:lang w:val="en-US"/>
              </w:rPr>
              <w:t>String</w:t>
            </w:r>
          </w:p>
        </w:tc>
        <w:tc>
          <w:tcPr>
            <w:tcW w:w="5641" w:type="dxa"/>
          </w:tcPr>
          <w:p w:rsidR="00644E7E" w:rsidRDefault="00644E7E" w:rsidP="00704FE3">
            <w:pPr>
              <w:rPr>
                <w:lang w:val="en-US"/>
              </w:rPr>
            </w:pPr>
            <w:r>
              <w:rPr>
                <w:lang w:val="en-US"/>
              </w:rPr>
              <w:t>T</w:t>
            </w:r>
            <w:r w:rsidRPr="00060609">
              <w:rPr>
                <w:lang w:val="en-US"/>
              </w:rPr>
              <w:t xml:space="preserve">he version of the service </w:t>
            </w:r>
            <w:proofErr w:type="spellStart"/>
            <w:r w:rsidRPr="00060609">
              <w:rPr>
                <w:lang w:val="en-US"/>
              </w:rPr>
              <w:t>protovol</w:t>
            </w:r>
            <w:proofErr w:type="spellEnd"/>
            <w:r w:rsidRPr="00060609">
              <w:rPr>
                <w:lang w:val="en-US"/>
              </w:rPr>
              <w:t>/REST endpoint.</w:t>
            </w:r>
          </w:p>
        </w:tc>
      </w:tr>
      <w:tr w:rsidR="00644E7E"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704FE3">
            <w:pPr>
              <w:rPr>
                <w:lang w:val="en-US"/>
              </w:rPr>
            </w:pPr>
            <w:r>
              <w:rPr>
                <w:lang w:val="en-US"/>
              </w:rPr>
              <w:t>alias</w:t>
            </w:r>
          </w:p>
        </w:tc>
        <w:tc>
          <w:tcPr>
            <w:tcW w:w="1512" w:type="dxa"/>
          </w:tcPr>
          <w:p w:rsidR="00644E7E" w:rsidRDefault="00644E7E" w:rsidP="00704FE3">
            <w:pPr>
              <w:rPr>
                <w:lang w:val="en-US"/>
              </w:rPr>
            </w:pPr>
            <w:proofErr w:type="gramStart"/>
            <w:r>
              <w:rPr>
                <w:lang w:val="en-US"/>
              </w:rPr>
              <w:t>String[</w:t>
            </w:r>
            <w:proofErr w:type="gramEnd"/>
            <w:r>
              <w:rPr>
                <w:lang w:val="en-US"/>
              </w:rPr>
              <w:t>1..*]</w:t>
            </w:r>
          </w:p>
        </w:tc>
        <w:tc>
          <w:tcPr>
            <w:tcW w:w="5641" w:type="dxa"/>
          </w:tcPr>
          <w:p w:rsidR="00644E7E" w:rsidRDefault="00644E7E" w:rsidP="00704FE3">
            <w:pPr>
              <w:rPr>
                <w:lang w:val="en-US"/>
              </w:rPr>
            </w:pPr>
            <w:r w:rsidRPr="00060609">
              <w:rPr>
                <w:lang w:val="en-US"/>
              </w:rPr>
              <w:t>the list of bindings, should we ever need to add new bindings</w:t>
            </w:r>
            <w:r>
              <w:rPr>
                <w:lang w:val="en-US"/>
              </w:rPr>
              <w:t xml:space="preserve"> in addition to the REST binding initially supported</w:t>
            </w:r>
          </w:p>
        </w:tc>
      </w:tr>
      <w:tr w:rsidR="00644E7E" w:rsidRPr="001E0B97" w:rsidTr="00704FE3">
        <w:tc>
          <w:tcPr>
            <w:tcW w:w="2135" w:type="dxa"/>
          </w:tcPr>
          <w:p w:rsidR="00644E7E" w:rsidRDefault="00644E7E" w:rsidP="00704FE3">
            <w:pPr>
              <w:rPr>
                <w:lang w:val="en-US"/>
              </w:rPr>
            </w:pPr>
            <w:proofErr w:type="spellStart"/>
            <w:r>
              <w:rPr>
                <w:lang w:val="en-US"/>
              </w:rPr>
              <w:lastRenderedPageBreak/>
              <w:t>href</w:t>
            </w:r>
            <w:proofErr w:type="spellEnd"/>
          </w:p>
        </w:tc>
        <w:tc>
          <w:tcPr>
            <w:tcW w:w="1512" w:type="dxa"/>
          </w:tcPr>
          <w:p w:rsidR="00644E7E" w:rsidRDefault="00644E7E" w:rsidP="00704FE3">
            <w:pPr>
              <w:rPr>
                <w:lang w:val="en-US"/>
              </w:rPr>
            </w:pPr>
            <w:r>
              <w:rPr>
                <w:lang w:val="en-US"/>
              </w:rPr>
              <w:t>String[1..3]</w:t>
            </w:r>
          </w:p>
        </w:tc>
        <w:tc>
          <w:tcPr>
            <w:tcW w:w="5641" w:type="dxa"/>
          </w:tcPr>
          <w:p w:rsidR="00644E7E" w:rsidRDefault="00644E7E" w:rsidP="00704FE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56A94">
        <w:rPr>
          <w:noProof/>
          <w:lang w:val="en-US"/>
        </w:rPr>
        <w:t>4</w:t>
      </w:r>
      <w:r>
        <w:fldChar w:fldCharType="end"/>
      </w:r>
      <w:r w:rsidRPr="00597107">
        <w:rPr>
          <w:lang w:val="en-US"/>
        </w:rPr>
        <w:t xml:space="preserve">: </w:t>
      </w:r>
      <w:r>
        <w:rPr>
          <w:lang w:val="en-US"/>
        </w:rPr>
        <w:t xml:space="preserve">Attributes of the Class </w:t>
      </w:r>
      <w:r>
        <w:rPr>
          <w:lang w:val="en-US"/>
        </w:rPr>
        <w:t>Layer</w:t>
      </w:r>
      <w:r>
        <w:rPr>
          <w:lang w:val="en-US"/>
        </w:rPr>
        <w:t xml:space="preserve"> within the 3dSceneServiceInfo document</w:t>
      </w:r>
    </w:p>
    <w:p w:rsidR="00644E7E" w:rsidRDefault="00644E7E" w:rsidP="00644E7E">
      <w:pPr>
        <w:pStyle w:val="Heading3"/>
        <w:rPr>
          <w:lang w:val="en-US"/>
        </w:rPr>
      </w:pPr>
      <w:r>
        <w:rPr>
          <w:lang w:val="en-US"/>
        </w:rPr>
        <w:t xml:space="preserve">Class </w:t>
      </w:r>
      <w:r>
        <w:rPr>
          <w:lang w:val="en-US"/>
        </w:rPr>
        <w:t>Store</w:t>
      </w:r>
    </w:p>
    <w:p w:rsidR="00644E7E" w:rsidRPr="00303E6C" w:rsidRDefault="00644E7E" w:rsidP="00644E7E">
      <w:pPr>
        <w:rPr>
          <w:lang w:val="en-US"/>
        </w:rPr>
      </w:pPr>
      <w:r>
        <w:rPr>
          <w:lang w:val="en-US"/>
        </w:rPr>
        <w:t>While Layers are the user-visible entry point to the 3dSceneServer resources (for web scene authoring and viewing), internally the service uses so-called stores. A store can contain 1</w:t>
      </w:r>
      <w:proofErr w:type="gramStart"/>
      <w:r>
        <w:rPr>
          <w:lang w:val="en-US"/>
        </w:rPr>
        <w:t>..*</w:t>
      </w:r>
      <w:proofErr w:type="gramEnd"/>
      <w:r>
        <w:rPr>
          <w:lang w:val="en-US"/>
        </w:rPr>
        <w:t xml:space="preserve"> many layers, which will share a common index and set of nodes, as well as resources</w:t>
      </w:r>
      <w:r>
        <w:rPr>
          <w:lang w:val="en-US"/>
        </w:rPr>
        <w:t xml:space="preserve">. </w:t>
      </w:r>
      <w:r>
        <w:rPr>
          <w:lang w:val="en-US"/>
        </w:rPr>
        <w:t>The Store object describes the exact physical storage of a Layer and enables the client to detect when multiple Layers are served from the same Store.</w:t>
      </w:r>
    </w:p>
    <w:tbl>
      <w:tblPr>
        <w:tblStyle w:val="MediumGrid3-Accent3"/>
        <w:tblW w:w="0" w:type="auto"/>
        <w:tblLook w:val="0420" w:firstRow="1" w:lastRow="0" w:firstColumn="0" w:lastColumn="0" w:noHBand="0" w:noVBand="1"/>
      </w:tblPr>
      <w:tblGrid>
        <w:gridCol w:w="2135"/>
        <w:gridCol w:w="1512"/>
        <w:gridCol w:w="5641"/>
      </w:tblGrid>
      <w:tr w:rsidR="00644E7E" w:rsidTr="00704FE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704FE3">
            <w:pPr>
              <w:rPr>
                <w:lang w:val="en-US"/>
              </w:rPr>
            </w:pPr>
            <w:r>
              <w:rPr>
                <w:lang w:val="en-US"/>
              </w:rPr>
              <w:t>Name</w:t>
            </w:r>
          </w:p>
        </w:tc>
        <w:tc>
          <w:tcPr>
            <w:tcW w:w="1512" w:type="dxa"/>
          </w:tcPr>
          <w:p w:rsidR="00644E7E" w:rsidRDefault="00644E7E" w:rsidP="00704FE3">
            <w:pPr>
              <w:rPr>
                <w:lang w:val="en-US"/>
              </w:rPr>
            </w:pPr>
            <w:r>
              <w:rPr>
                <w:lang w:val="en-US"/>
              </w:rPr>
              <w:t>Type</w:t>
            </w:r>
          </w:p>
        </w:tc>
        <w:tc>
          <w:tcPr>
            <w:tcW w:w="5641" w:type="dxa"/>
          </w:tcPr>
          <w:p w:rsidR="00644E7E" w:rsidRDefault="00644E7E" w:rsidP="00704FE3">
            <w:pPr>
              <w:rPr>
                <w:lang w:val="en-US"/>
              </w:rPr>
            </w:pPr>
            <w:r>
              <w:rPr>
                <w:lang w:val="en-US"/>
              </w:rPr>
              <w:t>Description</w:t>
            </w:r>
          </w:p>
        </w:tc>
      </w:tr>
      <w:tr w:rsidR="00644E7E"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256A94" w:rsidP="00704FE3">
            <w:pPr>
              <w:rPr>
                <w:lang w:val="en-US"/>
              </w:rPr>
            </w:pPr>
            <w:r>
              <w:rPr>
                <w:lang w:val="en-US"/>
              </w:rPr>
              <w:t>i</w:t>
            </w:r>
            <w:r w:rsidR="00644E7E">
              <w:rPr>
                <w:lang w:val="en-US"/>
              </w:rPr>
              <w:t>d</w:t>
            </w:r>
          </w:p>
        </w:tc>
        <w:tc>
          <w:tcPr>
            <w:tcW w:w="1512" w:type="dxa"/>
          </w:tcPr>
          <w:p w:rsidR="00644E7E" w:rsidRDefault="00256A94" w:rsidP="00704FE3">
            <w:pPr>
              <w:rPr>
                <w:lang w:val="en-US"/>
              </w:rPr>
            </w:pPr>
            <w:r>
              <w:rPr>
                <w:lang w:val="en-US"/>
              </w:rPr>
              <w:t>UUID</w:t>
            </w:r>
          </w:p>
        </w:tc>
        <w:tc>
          <w:tcPr>
            <w:tcW w:w="5641" w:type="dxa"/>
          </w:tcPr>
          <w:p w:rsidR="00644E7E" w:rsidRDefault="00256A94" w:rsidP="00704FE3">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644E7E" w:rsidRPr="001E0B97" w:rsidTr="00704FE3">
        <w:tc>
          <w:tcPr>
            <w:tcW w:w="2135" w:type="dxa"/>
          </w:tcPr>
          <w:p w:rsidR="00644E7E" w:rsidRDefault="00644E7E" w:rsidP="00704FE3">
            <w:pPr>
              <w:rPr>
                <w:lang w:val="en-US"/>
              </w:rPr>
            </w:pPr>
            <w:proofErr w:type="spellStart"/>
            <w:r>
              <w:rPr>
                <w:lang w:val="en-US"/>
              </w:rPr>
              <w:t>rootNode</w:t>
            </w:r>
            <w:proofErr w:type="spellEnd"/>
          </w:p>
        </w:tc>
        <w:tc>
          <w:tcPr>
            <w:tcW w:w="1512" w:type="dxa"/>
          </w:tcPr>
          <w:p w:rsidR="00644E7E" w:rsidRDefault="00256A94" w:rsidP="00704FE3">
            <w:pPr>
              <w:rPr>
                <w:lang w:val="en-US"/>
              </w:rPr>
            </w:pPr>
            <w:r>
              <w:rPr>
                <w:lang w:val="en-US"/>
              </w:rPr>
              <w:t>URL</w:t>
            </w:r>
          </w:p>
        </w:tc>
        <w:tc>
          <w:tcPr>
            <w:tcW w:w="5641" w:type="dxa"/>
          </w:tcPr>
          <w:p w:rsidR="00644E7E" w:rsidRDefault="00256A94" w:rsidP="00704FE3">
            <w:pPr>
              <w:rPr>
                <w:lang w:val="en-US"/>
              </w:rPr>
            </w:pPr>
            <w:proofErr w:type="gramStart"/>
            <w:r w:rsidRPr="00256A94">
              <w:rPr>
                <w:lang w:val="en-US"/>
              </w:rPr>
              <w:t>relative</w:t>
            </w:r>
            <w:proofErr w:type="gramEnd"/>
            <w:r w:rsidRPr="00256A94">
              <w:rPr>
                <w:lang w:val="en-US"/>
              </w:rPr>
              <w:t xml:space="preserve"> URL to root node resource.</w:t>
            </w:r>
          </w:p>
        </w:tc>
      </w:tr>
      <w:tr w:rsidR="00644E7E"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256A94" w:rsidP="00704FE3">
            <w:pPr>
              <w:rPr>
                <w:lang w:val="en-US"/>
              </w:rPr>
            </w:pPr>
            <w:r>
              <w:rPr>
                <w:lang w:val="en-US"/>
              </w:rPr>
              <w:t>v</w:t>
            </w:r>
            <w:r w:rsidR="00644E7E">
              <w:rPr>
                <w:lang w:val="en-US"/>
              </w:rPr>
              <w:t>ersion</w:t>
            </w:r>
          </w:p>
        </w:tc>
        <w:tc>
          <w:tcPr>
            <w:tcW w:w="1512" w:type="dxa"/>
          </w:tcPr>
          <w:p w:rsidR="00644E7E" w:rsidRDefault="00644E7E" w:rsidP="00256A94">
            <w:pPr>
              <w:rPr>
                <w:lang w:val="en-US"/>
              </w:rPr>
            </w:pPr>
            <w:r>
              <w:rPr>
                <w:lang w:val="en-US"/>
              </w:rPr>
              <w:t>String</w:t>
            </w:r>
          </w:p>
        </w:tc>
        <w:tc>
          <w:tcPr>
            <w:tcW w:w="5641" w:type="dxa"/>
          </w:tcPr>
          <w:p w:rsidR="00644E7E" w:rsidRDefault="00256A94" w:rsidP="00704FE3">
            <w:pPr>
              <w:rPr>
                <w:lang w:val="en-US"/>
              </w:rPr>
            </w:pPr>
            <w:r w:rsidRPr="00256A94">
              <w:rPr>
                <w:lang w:val="en-US"/>
              </w:rPr>
              <w:t>Format version of this resource; used here again if this cache hasn't been served by a 3D Scene Server.</w:t>
            </w:r>
          </w:p>
        </w:tc>
      </w:tr>
      <w:tr w:rsidR="00644E7E" w:rsidRPr="001E0B97" w:rsidTr="00704FE3">
        <w:tc>
          <w:tcPr>
            <w:tcW w:w="2135" w:type="dxa"/>
          </w:tcPr>
          <w:p w:rsidR="00644E7E" w:rsidRDefault="00256A94" w:rsidP="00704FE3">
            <w:pPr>
              <w:rPr>
                <w:lang w:val="en-US"/>
              </w:rPr>
            </w:pPr>
            <w:proofErr w:type="spellStart"/>
            <w:r>
              <w:rPr>
                <w:lang w:val="en-US"/>
              </w:rPr>
              <w:t>geometryType</w:t>
            </w:r>
            <w:proofErr w:type="spellEnd"/>
          </w:p>
        </w:tc>
        <w:tc>
          <w:tcPr>
            <w:tcW w:w="1512" w:type="dxa"/>
          </w:tcPr>
          <w:p w:rsidR="00644E7E" w:rsidRDefault="00644E7E" w:rsidP="00256A94">
            <w:pPr>
              <w:rPr>
                <w:lang w:val="en-US"/>
              </w:rPr>
            </w:pPr>
            <w:r>
              <w:rPr>
                <w:lang w:val="en-US"/>
              </w:rPr>
              <w:t>String</w:t>
            </w:r>
          </w:p>
        </w:tc>
        <w:tc>
          <w:tcPr>
            <w:tcW w:w="5641" w:type="dxa"/>
          </w:tcPr>
          <w:p w:rsidR="00644E7E" w:rsidRDefault="00256A94" w:rsidP="00704FE3">
            <w:pPr>
              <w:rPr>
                <w:lang w:val="en-US"/>
              </w:rPr>
            </w:pPr>
            <w:r>
              <w:rPr>
                <w:lang w:val="en-US"/>
              </w:rPr>
              <w:t>T</w:t>
            </w:r>
            <w:r w:rsidRPr="00256A94">
              <w:rPr>
                <w:lang w:val="en-US"/>
              </w:rPr>
              <w:t>he geometry type of the cache;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256A94"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Default="00256A94" w:rsidP="00704FE3">
            <w:pPr>
              <w:rPr>
                <w:lang w:val="en-US"/>
              </w:rPr>
            </w:pPr>
            <w:r>
              <w:rPr>
                <w:lang w:val="en-US"/>
              </w:rPr>
              <w:t>extent</w:t>
            </w:r>
          </w:p>
        </w:tc>
        <w:tc>
          <w:tcPr>
            <w:tcW w:w="1512" w:type="dxa"/>
          </w:tcPr>
          <w:p w:rsidR="00256A94" w:rsidRDefault="00256A94" w:rsidP="00256A94">
            <w:pPr>
              <w:rPr>
                <w:lang w:val="en-US"/>
              </w:rPr>
            </w:pPr>
            <w:r>
              <w:rPr>
                <w:lang w:val="en-US"/>
              </w:rPr>
              <w:t>Double[4]</w:t>
            </w:r>
          </w:p>
        </w:tc>
        <w:tc>
          <w:tcPr>
            <w:tcW w:w="5641" w:type="dxa"/>
          </w:tcPr>
          <w:p w:rsidR="00256A94" w:rsidRPr="00256A94" w:rsidRDefault="00256A94" w:rsidP="00704FE3">
            <w:pPr>
              <w:rPr>
                <w:lang w:val="en-US"/>
              </w:rPr>
            </w:pPr>
            <w:r>
              <w:rPr>
                <w:lang w:val="en-US"/>
              </w:rPr>
              <w:t>T</w:t>
            </w:r>
            <w:r w:rsidRPr="00256A94">
              <w:rPr>
                <w:lang w:val="en-US"/>
              </w:rPr>
              <w:t xml:space="preserve">he spatial extent of this store, in the horizontal </w:t>
            </w:r>
            <w:proofErr w:type="spellStart"/>
            <w:r w:rsidRPr="00256A94">
              <w:rPr>
                <w:lang w:val="en-US"/>
              </w:rPr>
              <w:t>indexCRS</w:t>
            </w:r>
            <w:proofErr w:type="spellEnd"/>
          </w:p>
        </w:tc>
      </w:tr>
      <w:tr w:rsidR="00256A94" w:rsidRPr="001E0B97" w:rsidTr="00704FE3">
        <w:tc>
          <w:tcPr>
            <w:tcW w:w="2135" w:type="dxa"/>
          </w:tcPr>
          <w:p w:rsidR="00256A94" w:rsidRDefault="00256A94" w:rsidP="00704FE3">
            <w:pPr>
              <w:rPr>
                <w:lang w:val="en-US"/>
              </w:rPr>
            </w:pPr>
            <w:proofErr w:type="spellStart"/>
            <w:r>
              <w:rPr>
                <w:lang w:val="en-US"/>
              </w:rPr>
              <w:t>indexCRS</w:t>
            </w:r>
            <w:proofErr w:type="spellEnd"/>
          </w:p>
        </w:tc>
        <w:tc>
          <w:tcPr>
            <w:tcW w:w="1512" w:type="dxa"/>
          </w:tcPr>
          <w:p w:rsidR="00256A94" w:rsidRDefault="00256A94" w:rsidP="00256A94">
            <w:pPr>
              <w:rPr>
                <w:lang w:val="en-US"/>
              </w:rPr>
            </w:pPr>
            <w:r>
              <w:rPr>
                <w:lang w:val="en-US"/>
              </w:rPr>
              <w:t>URL</w:t>
            </w:r>
          </w:p>
        </w:tc>
        <w:tc>
          <w:tcPr>
            <w:tcW w:w="5641" w:type="dxa"/>
          </w:tcPr>
          <w:p w:rsidR="00256A94" w:rsidRPr="00256A94" w:rsidRDefault="00256A94" w:rsidP="00704FE3">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cache, identified by </w:t>
            </w:r>
            <w:proofErr w:type="gramStart"/>
            <w:r w:rsidRPr="00256A94">
              <w:rPr>
                <w:lang w:val="en-US"/>
              </w:rPr>
              <w:t>a</w:t>
            </w:r>
            <w:proofErr w:type="gramEnd"/>
            <w:r w:rsidRPr="00256A94">
              <w:rPr>
                <w:lang w:val="en-US"/>
              </w:rPr>
              <w:t xml:space="preserve"> OGC URL.</w:t>
            </w:r>
          </w:p>
        </w:tc>
      </w:tr>
      <w:tr w:rsidR="00256A94"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Default="00256A94" w:rsidP="00704FE3">
            <w:pPr>
              <w:rPr>
                <w:lang w:val="en-US"/>
              </w:rPr>
            </w:pPr>
            <w:proofErr w:type="spellStart"/>
            <w:r>
              <w:rPr>
                <w:lang w:val="en-US"/>
              </w:rPr>
              <w:t>positionCRS</w:t>
            </w:r>
            <w:proofErr w:type="spellEnd"/>
          </w:p>
        </w:tc>
        <w:tc>
          <w:tcPr>
            <w:tcW w:w="1512" w:type="dxa"/>
          </w:tcPr>
          <w:p w:rsidR="00256A94" w:rsidRDefault="00256A94" w:rsidP="00256A94">
            <w:pPr>
              <w:rPr>
                <w:lang w:val="en-US"/>
              </w:rPr>
            </w:pPr>
            <w:r>
              <w:rPr>
                <w:lang w:val="en-US"/>
              </w:rPr>
              <w:t>URL</w:t>
            </w:r>
          </w:p>
        </w:tc>
        <w:tc>
          <w:tcPr>
            <w:tcW w:w="5641" w:type="dxa"/>
          </w:tcPr>
          <w:p w:rsidR="00256A94" w:rsidRPr="00256A94" w:rsidRDefault="00256A94" w:rsidP="00704FE3">
            <w:pPr>
              <w:rPr>
                <w:lang w:val="en-US"/>
              </w:rPr>
            </w:pPr>
            <w:r>
              <w:rPr>
                <w:lang w:val="en-US"/>
              </w:rPr>
              <w:t>T</w:t>
            </w:r>
            <w:r w:rsidRPr="00256A94">
              <w:rPr>
                <w:lang w:val="en-US"/>
              </w:rPr>
              <w:t xml:space="preserve">he horizontal CRS used for all "vertex positions" in this cache, identified by </w:t>
            </w:r>
            <w:proofErr w:type="gramStart"/>
            <w:r w:rsidRPr="00256A94">
              <w:rPr>
                <w:lang w:val="en-US"/>
              </w:rPr>
              <w:t>a</w:t>
            </w:r>
            <w:proofErr w:type="gramEnd"/>
            <w:r w:rsidRPr="00256A94">
              <w:rPr>
                <w:lang w:val="en-US"/>
              </w:rPr>
              <w:t xml:space="preserve"> OGC URL.</w:t>
            </w:r>
          </w:p>
        </w:tc>
      </w:tr>
      <w:tr w:rsidR="00256A94" w:rsidRPr="001E0B97" w:rsidTr="00704FE3">
        <w:tc>
          <w:tcPr>
            <w:tcW w:w="2135" w:type="dxa"/>
          </w:tcPr>
          <w:p w:rsidR="00256A94" w:rsidRDefault="00256A94" w:rsidP="00704FE3">
            <w:pPr>
              <w:rPr>
                <w:lang w:val="en-US"/>
              </w:rPr>
            </w:pPr>
            <w:proofErr w:type="spellStart"/>
            <w:r w:rsidRPr="00256A94">
              <w:rPr>
                <w:lang w:val="en-US"/>
              </w:rPr>
              <w:t>nidEncoding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704FE3">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version=1.0</w:t>
            </w:r>
          </w:p>
        </w:tc>
      </w:tr>
      <w:tr w:rsidR="00256A94"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704FE3">
            <w:pPr>
              <w:rPr>
                <w:lang w:val="en-US"/>
              </w:rPr>
            </w:pPr>
            <w:proofErr w:type="spellStart"/>
            <w:r>
              <w:rPr>
                <w:lang w:val="en-US"/>
              </w:rPr>
              <w:t>featureEncoding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704FE3">
            <w:pPr>
              <w:rPr>
                <w:lang w:val="en-US"/>
              </w:rPr>
            </w:pPr>
            <w:r w:rsidRPr="00256A94">
              <w:rPr>
                <w:lang w:val="en-US"/>
              </w:rPr>
              <w:t>MIME type for the encoding used for the Feature Data Resources</w:t>
            </w:r>
          </w:p>
        </w:tc>
      </w:tr>
      <w:tr w:rsidR="00256A94" w:rsidRPr="001E0B97" w:rsidTr="00704FE3">
        <w:tc>
          <w:tcPr>
            <w:tcW w:w="2135" w:type="dxa"/>
          </w:tcPr>
          <w:p w:rsidR="00256A94" w:rsidRDefault="00256A94" w:rsidP="00704FE3">
            <w:pPr>
              <w:rPr>
                <w:lang w:val="en-US"/>
              </w:rPr>
            </w:pPr>
            <w:proofErr w:type="spellStart"/>
            <w:r w:rsidRPr="00256A94">
              <w:rPr>
                <w:lang w:val="en-US"/>
              </w:rPr>
              <w:t>geometryEncoding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704FE3">
            <w:pPr>
              <w:rPr>
                <w:lang w:val="en-US"/>
              </w:rPr>
            </w:pPr>
            <w:r w:rsidRPr="00256A94">
              <w:rPr>
                <w:lang w:val="en-US"/>
              </w:rPr>
              <w:t>MIME type for the encoding used for the Geometry Resources</w:t>
            </w:r>
          </w:p>
        </w:tc>
      </w:tr>
      <w:tr w:rsidR="00256A94"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704FE3">
            <w:pPr>
              <w:rPr>
                <w:lang w:val="en-US"/>
              </w:rPr>
            </w:pPr>
            <w:proofErr w:type="spellStart"/>
            <w:r w:rsidRPr="00256A94">
              <w:rPr>
                <w:lang w:val="en-US"/>
              </w:rPr>
              <w:t>textureEncoding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704FE3">
            <w:pPr>
              <w:rPr>
                <w:lang w:val="en-US"/>
              </w:rPr>
            </w:pPr>
            <w:r w:rsidRPr="00256A94">
              <w:rPr>
                <w:lang w:val="en-US"/>
              </w:rPr>
              <w:t>MIME type for the encoding used for the Texture Resources</w:t>
            </w:r>
          </w:p>
        </w:tc>
      </w:tr>
      <w:tr w:rsidR="00256A94" w:rsidRPr="001E0B97" w:rsidTr="00704FE3">
        <w:tc>
          <w:tcPr>
            <w:tcW w:w="2135" w:type="dxa"/>
          </w:tcPr>
          <w:p w:rsidR="00256A94" w:rsidRPr="00256A94" w:rsidRDefault="00256A94" w:rsidP="00704FE3">
            <w:pPr>
              <w:rPr>
                <w:lang w:val="en-US"/>
              </w:rPr>
            </w:pPr>
            <w:proofErr w:type="spellStart"/>
            <w:r w:rsidRPr="00256A94">
              <w:rPr>
                <w:lang w:val="en-US"/>
              </w:rPr>
              <w:t>indexingScheme</w:t>
            </w:r>
            <w:proofErr w:type="spellEnd"/>
          </w:p>
        </w:tc>
        <w:tc>
          <w:tcPr>
            <w:tcW w:w="1512" w:type="dxa"/>
          </w:tcPr>
          <w:p w:rsidR="00256A94" w:rsidRDefault="00256A94" w:rsidP="00256A94">
            <w:pPr>
              <w:rPr>
                <w:lang w:val="en-US"/>
              </w:rPr>
            </w:pPr>
            <w:r>
              <w:rPr>
                <w:lang w:val="en-US"/>
              </w:rPr>
              <w:t>String</w:t>
            </w:r>
          </w:p>
        </w:tc>
        <w:tc>
          <w:tcPr>
            <w:tcW w:w="5641" w:type="dxa"/>
          </w:tcPr>
          <w:p w:rsidR="00256A94" w:rsidRDefault="00256A94" w:rsidP="00704FE3">
            <w:pPr>
              <w:rPr>
                <w:lang w:val="en-US"/>
              </w:rPr>
            </w:pPr>
            <w:r w:rsidRPr="00256A94">
              <w:rPr>
                <w:lang w:val="en-US"/>
              </w:rPr>
              <w:t>Indexing Scheme used; selected from {</w:t>
            </w:r>
            <w:proofErr w:type="spellStart"/>
            <w:r w:rsidRPr="00256A94">
              <w:rPr>
                <w:lang w:val="en-US"/>
              </w:rPr>
              <w:t>esriRTree</w:t>
            </w:r>
            <w:proofErr w:type="spellEnd"/>
            <w:r w:rsidRPr="00256A94">
              <w:rPr>
                <w:lang w:val="en-US"/>
              </w:rPr>
              <w:t xml:space="preserve">, </w:t>
            </w:r>
            <w:proofErr w:type="spellStart"/>
            <w:r w:rsidRPr="00256A94">
              <w:rPr>
                <w:lang w:val="en-US"/>
              </w:rPr>
              <w:t>QuadTree</w:t>
            </w:r>
            <w:proofErr w:type="spellEnd"/>
            <w:r w:rsidRPr="00256A94">
              <w:rPr>
                <w:lang w:val="en-US"/>
              </w:rPr>
              <w:t xml:space="preserve">, </w:t>
            </w:r>
            <w:proofErr w:type="spellStart"/>
            <w:r w:rsidRPr="00256A94">
              <w:rPr>
                <w:lang w:val="en-US"/>
              </w:rPr>
              <w:t>AGOLTilingScheme</w:t>
            </w:r>
            <w:proofErr w:type="spellEnd"/>
            <w:r w:rsidRPr="00256A94">
              <w:rPr>
                <w:lang w:val="en-US"/>
              </w:rPr>
              <w:t>}</w:t>
            </w:r>
          </w:p>
        </w:tc>
      </w:tr>
      <w:tr w:rsidR="00256A94" w:rsidRPr="001E0B97" w:rsidTr="00704FE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704FE3">
            <w:pPr>
              <w:rPr>
                <w:lang w:val="en-US"/>
              </w:rPr>
            </w:pPr>
            <w:proofErr w:type="spellStart"/>
            <w:r w:rsidRPr="00256A94">
              <w:rPr>
                <w:lang w:val="en-US"/>
              </w:rPr>
              <w:t>featureOrdering</w:t>
            </w:r>
            <w:proofErr w:type="spellEnd"/>
          </w:p>
        </w:tc>
        <w:tc>
          <w:tcPr>
            <w:tcW w:w="1512" w:type="dxa"/>
          </w:tcPr>
          <w:p w:rsidR="00256A94" w:rsidRDefault="00256A94" w:rsidP="00256A94">
            <w:pPr>
              <w:rPr>
                <w:lang w:val="en-US"/>
              </w:rPr>
            </w:pPr>
            <w:r>
              <w:rPr>
                <w:lang w:val="en-US"/>
              </w:rPr>
              <w:t>String[1..3]</w:t>
            </w:r>
          </w:p>
        </w:tc>
        <w:tc>
          <w:tcPr>
            <w:tcW w:w="5641" w:type="dxa"/>
          </w:tcPr>
          <w:p w:rsidR="00256A94" w:rsidRDefault="00256A94" w:rsidP="00256A94">
            <w:pPr>
              <w:tabs>
                <w:tab w:val="left" w:pos="888"/>
              </w:tabs>
              <w:rPr>
                <w:lang w:val="en-US"/>
              </w:rPr>
            </w:pPr>
            <w:r w:rsidRPr="00256A94">
              <w:rPr>
                <w:lang w:val="en-US"/>
              </w:rPr>
              <w:t>Ordered list of keywords indicating the ordering scheme applied to sort features within a node; selected from {ID, Prominence, Layer}</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56A94">
        <w:rPr>
          <w:noProof/>
          <w:lang w:val="en-US"/>
        </w:rPr>
        <w:t>5</w:t>
      </w:r>
      <w:r>
        <w:fldChar w:fldCharType="end"/>
      </w:r>
      <w:r w:rsidRPr="00597107">
        <w:rPr>
          <w:lang w:val="en-US"/>
        </w:rPr>
        <w:t xml:space="preserve">: </w:t>
      </w:r>
      <w:r>
        <w:rPr>
          <w:lang w:val="en-US"/>
        </w:rPr>
        <w:t xml:space="preserve">Attributes of the Class </w:t>
      </w:r>
      <w:r w:rsidR="00256A94">
        <w:rPr>
          <w:lang w:val="en-US"/>
        </w:rPr>
        <w:t>Store</w:t>
      </w:r>
      <w:r>
        <w:rPr>
          <w:lang w:val="en-US"/>
        </w:rPr>
        <w:t xml:space="preserve"> within the 3dSceneServiceInfo document</w:t>
      </w:r>
    </w:p>
    <w:p w:rsidR="008354A9" w:rsidRDefault="008354A9" w:rsidP="008354A9">
      <w:pPr>
        <w:pStyle w:val="Heading2"/>
        <w:rPr>
          <w:lang w:val="en-US"/>
        </w:rPr>
      </w:pPr>
      <w:r>
        <w:rPr>
          <w:lang w:val="en-US"/>
        </w:rPr>
        <w:t>3dSceneLayerInfo</w:t>
      </w:r>
      <w:r w:rsidR="00170E73">
        <w:rPr>
          <w:lang w:val="en-US"/>
        </w:rPr>
        <w:t>.js</w:t>
      </w:r>
    </w:p>
    <w:p w:rsidR="00B950F9" w:rsidRDefault="008354A9" w:rsidP="008354A9">
      <w:pPr>
        <w:rPr>
          <w:lang w:val="en-US"/>
        </w:rPr>
      </w:pPr>
      <w:r>
        <w:rPr>
          <w:lang w:val="en-US"/>
        </w:rPr>
        <w:t>The 3dSceneLayerInfo file is a JSON file that describes the properties of a single layer in a cache, including the default symbology to use. It shares the definition of this default symbology with the web scene item JSON file.</w:t>
      </w:r>
      <w:r w:rsidR="00256A94">
        <w:rPr>
          <w:lang w:val="en-US"/>
        </w:rPr>
        <w:t xml:space="preserve"> </w:t>
      </w:r>
      <w:r w:rsidR="00B950F9">
        <w:rPr>
          <w:lang w:val="en-US"/>
        </w:rPr>
        <w:t>The 3dSceneLayerInfo has the following structure:</w:t>
      </w:r>
    </w:p>
    <w:p w:rsidR="00B24D63" w:rsidRDefault="00B24D63" w:rsidP="00567FEF">
      <w:pPr>
        <w:rPr>
          <w:noProof/>
        </w:rPr>
      </w:pPr>
      <w:r>
        <w:rPr>
          <w:noProof/>
        </w:rPr>
        <w:lastRenderedPageBreak/>
        <w:drawing>
          <wp:inline distT="0" distB="0" distL="0" distR="0">
            <wp:extent cx="3747135" cy="27844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2784475"/>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5</w:t>
      </w:r>
      <w:r>
        <w:fldChar w:fldCharType="end"/>
      </w:r>
      <w:r w:rsidRPr="00017784">
        <w:rPr>
          <w:lang w:val="en-US"/>
        </w:rPr>
        <w:t xml:space="preserve">: Logical format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1E0B9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D12654" w:rsidRPr="001E0B97" w:rsidTr="00D12654">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1E0B9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1E0B97" w:rsidTr="00D12654">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Description string for this layer.</w:t>
            </w:r>
          </w:p>
        </w:tc>
      </w:tr>
      <w:tr w:rsidR="00D12654" w:rsidRPr="001E0B9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5C2680" w:rsidP="005C2680">
            <w:pPr>
              <w:rPr>
                <w:lang w:val="en-US"/>
              </w:rPr>
            </w:pPr>
            <w:r>
              <w:rPr>
                <w:lang w:val="en-US"/>
              </w:rPr>
              <w:t>string</w:t>
            </w:r>
          </w:p>
        </w:tc>
        <w:tc>
          <w:tcPr>
            <w:tcW w:w="6269" w:type="dxa"/>
          </w:tcPr>
          <w:p w:rsidR="00D12654" w:rsidRDefault="00D12654" w:rsidP="005C2680">
            <w:pPr>
              <w:rPr>
                <w:lang w:val="en-US"/>
              </w:rPr>
            </w:pPr>
            <w:r>
              <w:rPr>
                <w:lang w:val="en-US"/>
              </w:rPr>
              <w:t>An array of four doubles, corresponding to x, y, z and radius of the minimum bounding sphere of a node.</w:t>
            </w:r>
          </w:p>
        </w:tc>
      </w:tr>
      <w:tr w:rsidR="00D12654" w:rsidRPr="001E0B97" w:rsidTr="00D12654">
        <w:tc>
          <w:tcPr>
            <w:tcW w:w="1446" w:type="dxa"/>
          </w:tcPr>
          <w:p w:rsidR="00D12654" w:rsidRDefault="00D12654" w:rsidP="005C2680">
            <w:pPr>
              <w:rPr>
                <w:lang w:val="en-US"/>
              </w:rPr>
            </w:pPr>
            <w:proofErr w:type="spellStart"/>
            <w:r>
              <w:rPr>
                <w:lang w:val="en-US"/>
              </w:rPr>
              <w:t>pickable</w:t>
            </w:r>
            <w:proofErr w:type="spellEnd"/>
          </w:p>
        </w:tc>
        <w:tc>
          <w:tcPr>
            <w:tcW w:w="1559" w:type="dxa"/>
          </w:tcPr>
          <w:p w:rsidR="00D12654" w:rsidRDefault="005C2680" w:rsidP="005C2680">
            <w:pPr>
              <w:rPr>
                <w:lang w:val="en-US"/>
              </w:rPr>
            </w:pPr>
            <w:proofErr w:type="spellStart"/>
            <w:r>
              <w:rPr>
                <w:lang w:val="en-US"/>
              </w:rPr>
              <w:t>boolean</w:t>
            </w:r>
            <w:proofErr w:type="spellEnd"/>
          </w:p>
        </w:tc>
        <w:tc>
          <w:tcPr>
            <w:tcW w:w="6269" w:type="dxa"/>
          </w:tcPr>
          <w:p w:rsidR="00D12654" w:rsidRDefault="005C2680" w:rsidP="005C2680">
            <w:pPr>
              <w:rPr>
                <w:lang w:val="en-US"/>
              </w:rPr>
            </w:pPr>
            <w:r>
              <w:rPr>
                <w:lang w:val="en-US"/>
              </w:rPr>
              <w:t xml:space="preserve">True if the layer is supposed to be </w:t>
            </w:r>
            <w:proofErr w:type="spellStart"/>
            <w:r>
              <w:rPr>
                <w:lang w:val="en-US"/>
              </w:rPr>
              <w:t>pickable</w:t>
            </w:r>
            <w:proofErr w:type="spellEnd"/>
            <w:r>
              <w:rPr>
                <w:lang w:val="en-US"/>
              </w:rPr>
              <w:t>.</w:t>
            </w:r>
          </w:p>
        </w:tc>
      </w:tr>
      <w:tr w:rsidR="00D12654" w:rsidRPr="001E0B97"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 xml:space="preserve">from the Set {View, Query, </w:t>
            </w:r>
            <w:proofErr w:type="gramStart"/>
            <w:r>
              <w:rPr>
                <w:lang w:val="en-US"/>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5C2680">
        <w:rPr>
          <w:noProof/>
          <w:lang w:val="en-US"/>
        </w:rPr>
        <w:t>3</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5C2680" w:rsidRDefault="005C2680" w:rsidP="005C2680">
      <w:pPr>
        <w:pStyle w:val="Heading3"/>
        <w:rPr>
          <w:lang w:val="en-US"/>
        </w:rPr>
      </w:pPr>
      <w:r>
        <w:rPr>
          <w:lang w:val="en-US"/>
        </w:rPr>
        <w:t>Class Store</w:t>
      </w:r>
    </w:p>
    <w:p w:rsidR="005C2680" w:rsidRPr="005C2680" w:rsidRDefault="005C2680" w:rsidP="005C2680">
      <w:pPr>
        <w:rPr>
          <w:lang w:val="en-US"/>
        </w:rPr>
      </w:pPr>
      <w:r>
        <w:rPr>
          <w:lang w:val="en-US"/>
        </w:rPr>
        <w:t>For the Store class, please refer to the description provided with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1E0B97"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1E0B97"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lastRenderedPageBreak/>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1E0B97"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7</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5C2680" w:rsidRDefault="005C2680" w:rsidP="005C2680">
      <w:pPr>
        <w:pStyle w:val="Heading3"/>
        <w:rPr>
          <w:lang w:val="en-US"/>
        </w:rPr>
      </w:pPr>
      <w:r>
        <w:rPr>
          <w:lang w:val="en-US"/>
        </w:rPr>
        <w:t xml:space="preserve">Class </w:t>
      </w:r>
      <w:proofErr w:type="spellStart"/>
      <w:r>
        <w:rPr>
          <w:lang w:val="en-US"/>
        </w:rPr>
        <w:t>DrawingInfo</w:t>
      </w:r>
      <w:proofErr w:type="spellEnd"/>
    </w:p>
    <w:p w:rsidR="005C2680" w:rsidRPr="005C2680" w:rsidRDefault="005C2680" w:rsidP="005C2680">
      <w:pPr>
        <w:rPr>
          <w:lang w:val="en-US"/>
        </w:rPr>
      </w:pPr>
      <w:proofErr w:type="spellStart"/>
      <w:r>
        <w:rPr>
          <w:lang w:val="en-US"/>
        </w:rPr>
        <w:t>DrawingInfo</w:t>
      </w:r>
      <w:proofErr w:type="spellEnd"/>
      <w:r>
        <w:rPr>
          <w:lang w:val="en-US"/>
        </w:rPr>
        <w:t xml:space="preserve"> and the associated classes contain the default symbology for this Layer. This part matches the Cartographic Information Model as used by the other Esri REST services. </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cache,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256A94" w:rsidP="00017784">
      <w:pPr>
        <w:keepNext/>
        <w:rPr>
          <w:lang w:val="en-US"/>
        </w:rPr>
      </w:pPr>
      <w:r>
        <w:rPr>
          <w:noProof/>
        </w:rPr>
        <w:drawing>
          <wp:inline distT="0" distB="0" distL="0" distR="0">
            <wp:extent cx="5596255" cy="32518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255" cy="3251835"/>
                    </a:xfrm>
                    <a:prstGeom prst="rect">
                      <a:avLst/>
                    </a:prstGeom>
                    <a:noFill/>
                    <a:ln>
                      <a:noFill/>
                    </a:ln>
                  </pic:spPr>
                </pic:pic>
              </a:graphicData>
            </a:graphic>
          </wp:inline>
        </w:drawing>
      </w:r>
      <w:r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485051">
        <w:rPr>
          <w:noProof/>
          <w:lang w:val="en-US"/>
        </w:rPr>
        <w:t>6</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The Node is the major object in the NID. There is always exactly one Node</w:t>
      </w:r>
      <w:r w:rsidR="00483DC4">
        <w:rPr>
          <w:lang w:val="en-US"/>
        </w:rPr>
        <w:t xml:space="preserve"> object</w:t>
      </w:r>
      <w:r>
        <w:rPr>
          <w:lang w:val="en-US"/>
        </w:rPr>
        <w:t xml:space="preserve"> in a NID.</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1E0B97"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303E6C">
            <w:pPr>
              <w:rPr>
                <w:lang w:val="en-US"/>
              </w:rPr>
            </w:pPr>
            <w:r w:rsidRPr="00303E6C">
              <w:rPr>
                <w:lang w:val="en-US"/>
              </w:rPr>
              <w:t>Tree Key ID</w:t>
            </w:r>
            <w:r>
              <w:rPr>
                <w:lang w:val="en-US"/>
              </w:rPr>
              <w:t>, unique within the cache</w:t>
            </w:r>
            <w:r w:rsidRPr="00303E6C">
              <w:rPr>
                <w:lang w:val="en-US"/>
              </w:rPr>
              <w:t xml:space="preserve">. </w:t>
            </w:r>
            <w:r>
              <w:rPr>
                <w:lang w:val="en-US"/>
              </w:rPr>
              <w:t xml:space="preserve">ID </w:t>
            </w:r>
            <w:r w:rsidRPr="00303E6C">
              <w:rPr>
                <w:lang w:val="en-US"/>
              </w:rPr>
              <w:t>0 is always the root node.</w:t>
            </w:r>
          </w:p>
        </w:tc>
      </w:tr>
      <w:tr w:rsidR="00017784" w:rsidRPr="001E0B97"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1E0B97"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href</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017784">
            <w:pPr>
              <w:rPr>
                <w:lang w:val="en-US"/>
              </w:rPr>
            </w:pPr>
            <w:r>
              <w:rPr>
                <w:lang w:val="en-US"/>
              </w:rPr>
              <w:t>T</w:t>
            </w:r>
            <w:r w:rsidRPr="00303E6C">
              <w:rPr>
                <w:lang w:val="en-US"/>
              </w:rPr>
              <w:t>he relative URL to the Cache resource from which this NID comes.</w:t>
            </w:r>
          </w:p>
        </w:tc>
      </w:tr>
      <w:tr w:rsidR="00017784" w:rsidRPr="001E0B97"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017784">
            <w:pPr>
              <w:rPr>
                <w:lang w:val="en-US"/>
              </w:rPr>
            </w:pPr>
            <w:r>
              <w:rPr>
                <w:lang w:val="en-US"/>
              </w:rPr>
              <w:t>T</w:t>
            </w:r>
            <w:r w:rsidRPr="00303E6C">
              <w:rPr>
                <w:lang w:val="en-US"/>
              </w:rPr>
              <w:t>he version (cache update session ID) of this node</w:t>
            </w:r>
            <w:r>
              <w:rPr>
                <w:lang w:val="en-US"/>
              </w:rPr>
              <w:t>.</w:t>
            </w:r>
          </w:p>
        </w:tc>
      </w:tr>
      <w:tr w:rsidR="00017784" w:rsidRPr="001E0B97"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 xml:space="preserve">An array of four doubles, corresponding to x, y, z and radius of the </w:t>
            </w:r>
            <w:r>
              <w:rPr>
                <w:lang w:val="en-US"/>
              </w:rPr>
              <w:lastRenderedPageBreak/>
              <w:t>minimum bounding sphere of a node.</w:t>
            </w:r>
          </w:p>
        </w:tc>
      </w:tr>
      <w:tr w:rsidR="00017784" w:rsidRPr="001E0B97" w:rsidTr="00063D69">
        <w:tc>
          <w:tcPr>
            <w:tcW w:w="1384" w:type="dxa"/>
          </w:tcPr>
          <w:p w:rsidR="00017784" w:rsidRDefault="00017784" w:rsidP="00017784">
            <w:pPr>
              <w:rPr>
                <w:lang w:val="en-US"/>
              </w:rPr>
            </w:pPr>
            <w:r>
              <w:rPr>
                <w:lang w:val="en-US"/>
              </w:rPr>
              <w:lastRenderedPageBreak/>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1A7B34">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nodes/caches without LOD features, this value can be 0.0.</w:t>
            </w:r>
          </w:p>
        </w:tc>
      </w:tr>
      <w:tr w:rsidR="00017784" w:rsidRPr="001E0B97"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1E0B97" w:rsidTr="00063D69">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1E0B97"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8</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cache consistency.</w:t>
      </w: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1E0B9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1E0B97"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1E0B9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1E0B97"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5C2680">
            <w:pPr>
              <w:rPr>
                <w:lang w:val="en-US"/>
              </w:rPr>
            </w:pPr>
            <w:r>
              <w:rPr>
                <w:lang w:val="en-US"/>
              </w:rPr>
              <w:t>Version (cache update session ID) of the referenced node.</w:t>
            </w:r>
          </w:p>
        </w:tc>
      </w:tr>
      <w:tr w:rsidR="00D12E98" w:rsidRPr="001E0B97"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9</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1E0B97"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10</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5C2680">
            <w:pPr>
              <w:rPr>
                <w:lang w:val="en-US"/>
              </w:rPr>
            </w:pPr>
            <w:proofErr w:type="gramStart"/>
            <w:r>
              <w:rPr>
                <w:lang w:val="en-US"/>
              </w:rPr>
              <w:t>A</w:t>
            </w:r>
            <w:proofErr w:type="gramEnd"/>
            <w:r>
              <w:rPr>
                <w:lang w:val="en-US"/>
              </w:rPr>
              <w:t xml:space="preserve"> ID of the Feature, unique within the cache (important to note when using Features from multiple caches!)</w:t>
            </w:r>
          </w:p>
        </w:tc>
      </w:tr>
      <w:tr w:rsidR="00E7414A" w:rsidRPr="001E0B97"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D22A2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 xml:space="preserve">a lower LOD level, which can replace this feature </w:t>
            </w:r>
            <w:r w:rsidR="00D22A27">
              <w:rPr>
                <w:lang w:val="en-US"/>
              </w:rPr>
              <w:lastRenderedPageBreak/>
              <w:t>when loaded.</w:t>
            </w:r>
          </w:p>
        </w:tc>
      </w:tr>
      <w:tr w:rsidR="00E7414A" w:rsidRPr="001E0B97" w:rsidTr="005C2680">
        <w:tc>
          <w:tcPr>
            <w:tcW w:w="1412" w:type="dxa"/>
          </w:tcPr>
          <w:p w:rsidR="00E7414A" w:rsidRDefault="00E7414A" w:rsidP="005C2680">
            <w:pPr>
              <w:rPr>
                <w:lang w:val="en-US"/>
              </w:rPr>
            </w:pPr>
            <w:r>
              <w:rPr>
                <w:lang w:val="en-US"/>
              </w:rPr>
              <w:lastRenderedPageBreak/>
              <w:t>rank</w:t>
            </w:r>
          </w:p>
        </w:tc>
        <w:tc>
          <w:tcPr>
            <w:tcW w:w="1559" w:type="dxa"/>
          </w:tcPr>
          <w:p w:rsidR="00E7414A" w:rsidRDefault="00E7414A" w:rsidP="005C2680">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11</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A30B23" w:rsidRDefault="00A30B23" w:rsidP="006D0F31">
      <w:pPr>
        <w:pStyle w:val="Heading2"/>
        <w:rPr>
          <w:lang w:val="en-US"/>
        </w:rPr>
      </w:pPr>
      <w:r>
        <w:rPr>
          <w:lang w:val="en-US"/>
        </w:rPr>
        <w:t>Feature</w:t>
      </w:r>
      <w:r w:rsidR="004A2A7E">
        <w:rPr>
          <w:lang w:val="en-US"/>
        </w:rPr>
        <w:t>Data</w:t>
      </w:r>
      <w:r w:rsidR="00170E73">
        <w:rPr>
          <w:lang w:val="en-US"/>
        </w:rPr>
        <w:t>.js</w:t>
      </w:r>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w:t>
      </w:r>
      <w:proofErr w:type="spellStart"/>
      <w:r w:rsidR="00B950F9">
        <w:rPr>
          <w:lang w:val="en-US"/>
        </w:rPr>
        <w:t>accessors</w:t>
      </w:r>
      <w:proofErr w:type="spellEnd"/>
      <w:r w:rsidR="00B950F9">
        <w:rPr>
          <w:lang w:val="en-US"/>
        </w:rPr>
        <w:t xml:space="preserve">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116129" w:rsidP="00567FEF">
      <w:pPr>
        <w:rPr>
          <w:lang w:val="en-US"/>
        </w:rPr>
      </w:pPr>
      <w:r>
        <w:rPr>
          <w:noProof/>
        </w:rPr>
        <w:drawing>
          <wp:inline distT="0" distB="0" distL="0" distR="0">
            <wp:extent cx="4915535" cy="3891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535" cy="3891280"/>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7</w:t>
      </w:r>
      <w:r>
        <w:fldChar w:fldCharType="end"/>
      </w:r>
      <w:r w:rsidRPr="00017784">
        <w:rPr>
          <w:lang w:val="en-US"/>
        </w:rPr>
        <w:t xml:space="preserve">: Logical format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90"/>
        <w:gridCol w:w="1556"/>
        <w:gridCol w:w="6242"/>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1E0B97" w:rsidTr="005C2680">
        <w:tc>
          <w:tcPr>
            <w:tcW w:w="1412" w:type="dxa"/>
          </w:tcPr>
          <w:p w:rsidR="00D22A27" w:rsidRDefault="00D22A27" w:rsidP="005C2680">
            <w:pPr>
              <w:rPr>
                <w:lang w:val="en-US"/>
              </w:rPr>
            </w:pPr>
            <w:proofErr w:type="spellStart"/>
            <w:r>
              <w:rPr>
                <w:lang w:val="en-US"/>
              </w:rPr>
              <w:t>positionOffset</w:t>
            </w:r>
            <w:proofErr w:type="spellEnd"/>
          </w:p>
        </w:tc>
        <w:tc>
          <w:tcPr>
            <w:tcW w:w="1559" w:type="dxa"/>
          </w:tcPr>
          <w:p w:rsidR="00D22A27" w:rsidRDefault="00D22A27" w:rsidP="005C2680">
            <w:pPr>
              <w:rPr>
                <w:lang w:val="en-US"/>
              </w:rPr>
            </w:pPr>
            <w:r>
              <w:rPr>
                <w:lang w:val="en-US"/>
              </w:rPr>
              <w:t>double[2]</w:t>
            </w:r>
          </w:p>
        </w:tc>
        <w:tc>
          <w:tcPr>
            <w:tcW w:w="6269" w:type="dxa"/>
          </w:tcPr>
          <w:p w:rsidR="00D22A27" w:rsidRPr="00303E6C" w:rsidRDefault="00D22A27" w:rsidP="005C2680">
            <w:pPr>
              <w:rPr>
                <w:lang w:val="en-US"/>
              </w:rPr>
            </w:pPr>
            <w:r>
              <w:rPr>
                <w:lang w:val="en-US"/>
              </w:rPr>
              <w:t>T</w:t>
            </w:r>
            <w:r w:rsidRPr="00D22A27">
              <w:rPr>
                <w:lang w:val="en-US"/>
              </w:rPr>
              <w:t xml:space="preserve">he </w:t>
            </w:r>
            <w:proofErr w:type="spellStart"/>
            <w:r w:rsidRPr="00D22A27">
              <w:rPr>
                <w:lang w:val="en-US"/>
              </w:rPr>
              <w:t>x</w:t>
            </w:r>
            <w:proofErr w:type="gramStart"/>
            <w:r w:rsidRPr="00D22A27">
              <w:rPr>
                <w:lang w:val="en-US"/>
              </w:rPr>
              <w:t>,y</w:t>
            </w:r>
            <w:proofErr w:type="spellEnd"/>
            <w:proofErr w:type="gramEnd"/>
            <w:r w:rsidRPr="00D22A27">
              <w:rPr>
                <w:lang w:val="en-US"/>
              </w:rPr>
              <w:t xml:space="preserve"> offset used by all vertex positions in this feature. Add these values to the feature geometry vertex positions to get absolute projected coordinates in the </w:t>
            </w:r>
            <w:proofErr w:type="spellStart"/>
            <w:r w:rsidRPr="00D22A27">
              <w:rPr>
                <w:lang w:val="en-US"/>
              </w:rPr>
              <w:t>positionCRS</w:t>
            </w:r>
            <w:proofErr w:type="spellEnd"/>
            <w:r w:rsidRPr="00D22A27">
              <w:rPr>
                <w:lang w:val="en-US"/>
              </w:rPr>
              <w:t>.</w:t>
            </w:r>
          </w:p>
        </w:tc>
      </w:tr>
      <w:tr w:rsidR="0087405A"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0C3502" w:rsidP="005C2680">
            <w:pPr>
              <w:rPr>
                <w:lang w:val="en-US"/>
              </w:rPr>
            </w:pPr>
            <w:proofErr w:type="spellStart"/>
            <w:r>
              <w:rPr>
                <w:lang w:val="en-US"/>
              </w:rPr>
              <w:t>mbb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w:t>
            </w:r>
            <w:r>
              <w:rPr>
                <w:lang w:val="en-US"/>
              </w:rPr>
              <w:lastRenderedPageBreak/>
              <w:t xml:space="preserve">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D22A27">
              <w:rPr>
                <w:lang w:val="en-US"/>
              </w:rPr>
              <w:t>positionCRS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1E0B97" w:rsidTr="005C2680">
        <w:tc>
          <w:tcPr>
            <w:tcW w:w="1412" w:type="dxa"/>
          </w:tcPr>
          <w:p w:rsidR="0087405A" w:rsidRDefault="00D22A27" w:rsidP="005C2680">
            <w:pPr>
              <w:rPr>
                <w:lang w:val="en-US"/>
              </w:rPr>
            </w:pPr>
            <w:r>
              <w:rPr>
                <w:lang w:val="en-US"/>
              </w:rPr>
              <w:lastRenderedPageBreak/>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12</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1E0B97"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1E0B97"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13</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Pr>
          <w:lang w:val="en-US"/>
        </w:rPr>
        <w:t>NodeIndexDocument</w:t>
      </w:r>
      <w:proofErr w:type="spellEnd"/>
    </w:p>
    <w:p w:rsidR="00116129" w:rsidRDefault="00116129" w:rsidP="00116129">
      <w:pPr>
        <w:pStyle w:val="Heading3"/>
        <w:rPr>
          <w:lang w:val="en-US"/>
        </w:rPr>
      </w:pPr>
      <w:r>
        <w:rPr>
          <w:lang w:val="en-US"/>
        </w:rPr>
        <w:t xml:space="preserve">Class </w:t>
      </w:r>
      <w:r>
        <w:rPr>
          <w:lang w:val="en-US"/>
        </w:rPr>
        <w:t>Geometry</w:t>
      </w:r>
    </w:p>
    <w:p w:rsidR="00116129" w:rsidRDefault="00116129" w:rsidP="00116129">
      <w:pPr>
        <w:tabs>
          <w:tab w:val="left" w:pos="1570"/>
        </w:tabs>
        <w:rPr>
          <w:lang w:val="en-US"/>
        </w:rPr>
      </w:pPr>
      <w:r>
        <w:rPr>
          <w:lang w:val="en-US"/>
        </w:rPr>
        <w:t xml:space="preserve">Objects of this type include the </w:t>
      </w:r>
      <w:r w:rsidRPr="00116129">
        <w:rPr>
          <w:lang w:val="en-US"/>
        </w:rPr>
        <w:t xml:space="preserve">Geometry definition </w:t>
      </w:r>
      <w:r>
        <w:rPr>
          <w:lang w:val="en-US"/>
        </w:rPr>
        <w:t>with</w:t>
      </w:r>
      <w:r w:rsidRPr="00116129">
        <w:rPr>
          <w:lang w:val="en-US"/>
        </w:rPr>
        <w:t xml:space="preserve"> material</w:t>
      </w:r>
      <w:r>
        <w:rPr>
          <w:lang w:val="en-US"/>
        </w:rPr>
        <w:t xml:space="preserve"> references.</w:t>
      </w:r>
      <w:r w:rsidRPr="00116129">
        <w:rPr>
          <w:lang w:val="en-US"/>
        </w:rPr>
        <w:t xml:space="preserve"> </w:t>
      </w:r>
      <w:r>
        <w:rPr>
          <w:lang w:val="en-US"/>
        </w:rPr>
        <w:t>N</w:t>
      </w:r>
      <w:r w:rsidRPr="00116129">
        <w:rPr>
          <w:lang w:val="en-US"/>
        </w:rPr>
        <w:t>ote that one Feature can have multiple geometries</w:t>
      </w:r>
      <w:r>
        <w:rPr>
          <w:lang w:val="en-US"/>
        </w:rPr>
        <w:t>, which can consist of multiple parts.</w:t>
      </w:r>
    </w:p>
    <w:tbl>
      <w:tblPr>
        <w:tblStyle w:val="MediumGrid3-Accent3"/>
        <w:tblW w:w="0" w:type="auto"/>
        <w:tblLook w:val="0420" w:firstRow="1" w:lastRow="0" w:firstColumn="0" w:lastColumn="0" w:noHBand="0" w:noVBand="1"/>
      </w:tblPr>
      <w:tblGrid>
        <w:gridCol w:w="1571"/>
        <w:gridCol w:w="1548"/>
        <w:gridCol w:w="6169"/>
      </w:tblGrid>
      <w:tr w:rsidR="00116129" w:rsidTr="00704FE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704FE3">
            <w:pPr>
              <w:rPr>
                <w:lang w:val="en-US"/>
              </w:rPr>
            </w:pPr>
            <w:r>
              <w:rPr>
                <w:lang w:val="en-US"/>
              </w:rPr>
              <w:t>Name</w:t>
            </w:r>
          </w:p>
        </w:tc>
        <w:tc>
          <w:tcPr>
            <w:tcW w:w="1559" w:type="dxa"/>
          </w:tcPr>
          <w:p w:rsidR="00116129" w:rsidRDefault="00116129" w:rsidP="00704FE3">
            <w:pPr>
              <w:rPr>
                <w:lang w:val="en-US"/>
              </w:rPr>
            </w:pPr>
            <w:r>
              <w:rPr>
                <w:lang w:val="en-US"/>
              </w:rPr>
              <w:t>Type</w:t>
            </w:r>
          </w:p>
        </w:tc>
        <w:tc>
          <w:tcPr>
            <w:tcW w:w="6269" w:type="dxa"/>
          </w:tcPr>
          <w:p w:rsidR="00116129" w:rsidRDefault="00116129" w:rsidP="00704FE3">
            <w:pPr>
              <w:rPr>
                <w:lang w:val="en-US"/>
              </w:rPr>
            </w:pPr>
            <w:r>
              <w:rPr>
                <w:lang w:val="en-US"/>
              </w:rPr>
              <w:t>Description</w:t>
            </w:r>
          </w:p>
        </w:tc>
      </w:tr>
      <w:tr w:rsidR="00116129" w:rsidRPr="001E0B97" w:rsidTr="00704FE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704FE3">
            <w:pPr>
              <w:rPr>
                <w:lang w:val="en-US"/>
              </w:rPr>
            </w:pPr>
            <w:r>
              <w:rPr>
                <w:lang w:val="en-US"/>
              </w:rPr>
              <w:t>type</w:t>
            </w:r>
          </w:p>
        </w:tc>
        <w:tc>
          <w:tcPr>
            <w:tcW w:w="1559" w:type="dxa"/>
          </w:tcPr>
          <w:p w:rsidR="00116129" w:rsidRDefault="00116129" w:rsidP="00704FE3">
            <w:pPr>
              <w:rPr>
                <w:lang w:val="en-US"/>
              </w:rPr>
            </w:pPr>
            <w:r>
              <w:rPr>
                <w:lang w:val="en-US"/>
              </w:rPr>
              <w:t>String</w:t>
            </w:r>
          </w:p>
        </w:tc>
        <w:tc>
          <w:tcPr>
            <w:tcW w:w="6269" w:type="dxa"/>
          </w:tcPr>
          <w:p w:rsidR="00116129" w:rsidRDefault="00116129" w:rsidP="00704FE3">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as a reference to a shared Resource (</w:t>
            </w:r>
            <w:proofErr w:type="spellStart"/>
            <w:r w:rsidRPr="00116129">
              <w:rPr>
                <w:rStyle w:val="SourceCodeBlockChar"/>
              </w:rPr>
              <w:t>SharedResourceReference</w:t>
            </w:r>
            <w:proofErr w:type="spellEnd"/>
            <w:r w:rsidRPr="00116129">
              <w:rPr>
                <w:lang w:val="en-US"/>
              </w:rPr>
              <w:t>) or embedded (Embedded).</w:t>
            </w:r>
          </w:p>
        </w:tc>
      </w:tr>
      <w:tr w:rsidR="00116129" w:rsidRPr="001E0B97" w:rsidTr="00704FE3">
        <w:tc>
          <w:tcPr>
            <w:tcW w:w="1412" w:type="dxa"/>
          </w:tcPr>
          <w:p w:rsidR="00116129" w:rsidRDefault="00116129" w:rsidP="00704FE3">
            <w:pPr>
              <w:rPr>
                <w:lang w:val="en-US"/>
              </w:rPr>
            </w:pPr>
            <w:r>
              <w:rPr>
                <w:lang w:val="en-US"/>
              </w:rPr>
              <w:t>transformation</w:t>
            </w:r>
          </w:p>
        </w:tc>
        <w:tc>
          <w:tcPr>
            <w:tcW w:w="1559" w:type="dxa"/>
          </w:tcPr>
          <w:p w:rsidR="00116129" w:rsidRDefault="00116129" w:rsidP="00704FE3">
            <w:pPr>
              <w:rPr>
                <w:lang w:val="en-US"/>
              </w:rPr>
            </w:pPr>
            <w:r>
              <w:rPr>
                <w:lang w:val="en-US"/>
              </w:rPr>
              <w:t>double[16]</w:t>
            </w:r>
          </w:p>
        </w:tc>
        <w:tc>
          <w:tcPr>
            <w:tcW w:w="6269" w:type="dxa"/>
          </w:tcPr>
          <w:p w:rsidR="00116129" w:rsidRDefault="00116129" w:rsidP="00704FE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Pr>
          <w:lang w:val="en-US"/>
        </w:rPr>
        <w:t>NodeIndexDocument</w:t>
      </w:r>
      <w:proofErr w:type="spellEnd"/>
    </w:p>
    <w:p w:rsidR="00116129" w:rsidRDefault="00116129" w:rsidP="00116129">
      <w:pPr>
        <w:pStyle w:val="Heading3"/>
        <w:rPr>
          <w:lang w:val="en-US"/>
        </w:rPr>
      </w:pPr>
      <w:r>
        <w:rPr>
          <w:lang w:val="en-US"/>
        </w:rPr>
        <w:t xml:space="preserve">Class </w:t>
      </w:r>
      <w:proofErr w:type="spellStart"/>
      <w:r>
        <w:rPr>
          <w:lang w:val="en-US"/>
        </w:rPr>
        <w:t>Geometry</w:t>
      </w:r>
      <w:r>
        <w:rPr>
          <w:lang w:val="en-US"/>
        </w:rPr>
        <w:t>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p>
    <w:tbl>
      <w:tblPr>
        <w:tblStyle w:val="MediumGrid3-Accent3"/>
        <w:tblW w:w="0" w:type="auto"/>
        <w:tblLook w:val="0420" w:firstRow="1" w:lastRow="0" w:firstColumn="0" w:lastColumn="0" w:noHBand="0" w:noVBand="1"/>
      </w:tblPr>
      <w:tblGrid>
        <w:gridCol w:w="1824"/>
        <w:gridCol w:w="1508"/>
        <w:gridCol w:w="5956"/>
      </w:tblGrid>
      <w:tr w:rsidR="00116129" w:rsidTr="00704FE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704FE3">
            <w:pPr>
              <w:rPr>
                <w:lang w:val="en-US"/>
              </w:rPr>
            </w:pPr>
            <w:r>
              <w:rPr>
                <w:lang w:val="en-US"/>
              </w:rPr>
              <w:t>Name</w:t>
            </w:r>
          </w:p>
        </w:tc>
        <w:tc>
          <w:tcPr>
            <w:tcW w:w="1559" w:type="dxa"/>
          </w:tcPr>
          <w:p w:rsidR="00116129" w:rsidRDefault="00116129" w:rsidP="00704FE3">
            <w:pPr>
              <w:rPr>
                <w:lang w:val="en-US"/>
              </w:rPr>
            </w:pPr>
            <w:r>
              <w:rPr>
                <w:lang w:val="en-US"/>
              </w:rPr>
              <w:t>Type</w:t>
            </w:r>
          </w:p>
        </w:tc>
        <w:tc>
          <w:tcPr>
            <w:tcW w:w="6269" w:type="dxa"/>
          </w:tcPr>
          <w:p w:rsidR="00116129" w:rsidRDefault="00116129" w:rsidP="00704FE3">
            <w:pPr>
              <w:rPr>
                <w:lang w:val="en-US"/>
              </w:rPr>
            </w:pPr>
            <w:r>
              <w:rPr>
                <w:lang w:val="en-US"/>
              </w:rPr>
              <w:t>Description</w:t>
            </w:r>
          </w:p>
        </w:tc>
      </w:tr>
      <w:tr w:rsidR="00116129" w:rsidRPr="001E0B97" w:rsidTr="00704FE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704FE3">
            <w:pPr>
              <w:rPr>
                <w:lang w:val="en-US"/>
              </w:rPr>
            </w:pPr>
            <w:proofErr w:type="spellStart"/>
            <w:r>
              <w:rPr>
                <w:lang w:val="en-US"/>
              </w:rPr>
              <w:t>byteOffset</w:t>
            </w:r>
            <w:proofErr w:type="spellEnd"/>
          </w:p>
        </w:tc>
        <w:tc>
          <w:tcPr>
            <w:tcW w:w="1559" w:type="dxa"/>
          </w:tcPr>
          <w:p w:rsidR="00116129" w:rsidRDefault="00116129" w:rsidP="00704FE3">
            <w:pPr>
              <w:rPr>
                <w:lang w:val="en-US"/>
              </w:rPr>
            </w:pPr>
            <w:r>
              <w:rPr>
                <w:lang w:val="en-US"/>
              </w:rPr>
              <w:t>Long</w:t>
            </w:r>
          </w:p>
        </w:tc>
        <w:tc>
          <w:tcPr>
            <w:tcW w:w="6269" w:type="dxa"/>
          </w:tcPr>
          <w:p w:rsidR="00116129" w:rsidRDefault="00062EED" w:rsidP="00704FE3">
            <w:pPr>
              <w:rPr>
                <w:lang w:val="en-US"/>
              </w:rPr>
            </w:pPr>
            <w:r>
              <w:rPr>
                <w:lang w:val="en-US"/>
              </w:rPr>
              <w:t>T</w:t>
            </w:r>
            <w:r w:rsidR="00116129" w:rsidRPr="00116129">
              <w:rPr>
                <w:lang w:val="en-US"/>
              </w:rPr>
              <w:t>he starting byte position where the required bytes begin</w:t>
            </w:r>
          </w:p>
        </w:tc>
      </w:tr>
      <w:tr w:rsidR="00116129" w:rsidRPr="001E0B97" w:rsidTr="00704FE3">
        <w:tc>
          <w:tcPr>
            <w:tcW w:w="1412" w:type="dxa"/>
          </w:tcPr>
          <w:p w:rsidR="00116129" w:rsidRDefault="00116129" w:rsidP="00704FE3">
            <w:pPr>
              <w:rPr>
                <w:lang w:val="en-US"/>
              </w:rPr>
            </w:pPr>
            <w:r>
              <w:rPr>
                <w:lang w:val="en-US"/>
              </w:rPr>
              <w:t>count</w:t>
            </w:r>
          </w:p>
        </w:tc>
        <w:tc>
          <w:tcPr>
            <w:tcW w:w="1559" w:type="dxa"/>
          </w:tcPr>
          <w:p w:rsidR="00116129" w:rsidRDefault="00116129" w:rsidP="00704FE3">
            <w:pPr>
              <w:rPr>
                <w:lang w:val="en-US"/>
              </w:rPr>
            </w:pPr>
            <w:r>
              <w:rPr>
                <w:lang w:val="en-US"/>
              </w:rPr>
              <w:t>long</w:t>
            </w:r>
          </w:p>
        </w:tc>
        <w:tc>
          <w:tcPr>
            <w:tcW w:w="6269" w:type="dxa"/>
          </w:tcPr>
          <w:p w:rsidR="00116129" w:rsidRDefault="00062EED" w:rsidP="00704FE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1E0B97" w:rsidTr="00704FE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704FE3">
            <w:pPr>
              <w:rPr>
                <w:lang w:val="en-US"/>
              </w:rPr>
            </w:pPr>
            <w:proofErr w:type="spellStart"/>
            <w:r>
              <w:rPr>
                <w:lang w:val="en-US"/>
              </w:rPr>
              <w:t>valueType</w:t>
            </w:r>
            <w:proofErr w:type="spellEnd"/>
          </w:p>
        </w:tc>
        <w:tc>
          <w:tcPr>
            <w:tcW w:w="1559" w:type="dxa"/>
          </w:tcPr>
          <w:p w:rsidR="00116129" w:rsidRDefault="00116129" w:rsidP="00704FE3">
            <w:pPr>
              <w:rPr>
                <w:lang w:val="en-US"/>
              </w:rPr>
            </w:pPr>
            <w:r>
              <w:rPr>
                <w:lang w:val="en-US"/>
              </w:rPr>
              <w:t>String</w:t>
            </w:r>
          </w:p>
        </w:tc>
        <w:tc>
          <w:tcPr>
            <w:tcW w:w="6269" w:type="dxa"/>
          </w:tcPr>
          <w:p w:rsidR="00116129" w:rsidRDefault="00062EED" w:rsidP="00704FE3">
            <w:pPr>
              <w:rPr>
                <w:lang w:val="en-US"/>
              </w:rPr>
            </w:pPr>
            <w:r>
              <w:rPr>
                <w:lang w:val="en-US"/>
              </w:rPr>
              <w:t>T</w:t>
            </w:r>
            <w:r w:rsidRPr="00062EED">
              <w:rPr>
                <w:lang w:val="en-US"/>
              </w:rPr>
              <w:t>he element type, either UInt8, UInt16, Int16, Int32, Int64 or Float32, Float64</w:t>
            </w:r>
          </w:p>
        </w:tc>
      </w:tr>
      <w:tr w:rsidR="00116129" w:rsidRPr="001E0B97" w:rsidTr="00704FE3">
        <w:tc>
          <w:tcPr>
            <w:tcW w:w="1412" w:type="dxa"/>
          </w:tcPr>
          <w:p w:rsidR="00116129" w:rsidRDefault="00116129" w:rsidP="00704FE3">
            <w:pPr>
              <w:rPr>
                <w:lang w:val="en-US"/>
              </w:rPr>
            </w:pPr>
            <w:proofErr w:type="spellStart"/>
            <w:r>
              <w:rPr>
                <w:lang w:val="en-US"/>
              </w:rPr>
              <w:t>valuesPerElement</w:t>
            </w:r>
            <w:proofErr w:type="spellEnd"/>
          </w:p>
        </w:tc>
        <w:tc>
          <w:tcPr>
            <w:tcW w:w="1559" w:type="dxa"/>
          </w:tcPr>
          <w:p w:rsidR="00116129" w:rsidRDefault="00116129" w:rsidP="00704FE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Pr>
          <w:lang w:val="en-US"/>
        </w:rPr>
        <w:t>NodeIndexDocument</w:t>
      </w:r>
      <w:proofErr w:type="spellEnd"/>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Shared resources are models or textures that can be shared among features within the same cache. They are stored as a JSON file entirely, comparable to the encoding used for geometry and textures in a 3ws 2.2 file.</w:t>
      </w:r>
    </w:p>
    <w:p w:rsidR="00A30B23" w:rsidRDefault="00A30B23" w:rsidP="006D0F31">
      <w:pPr>
        <w:pStyle w:val="Heading2"/>
        <w:rPr>
          <w:lang w:val="en-US"/>
        </w:rPr>
      </w:pPr>
      <w:proofErr w:type="spellStart"/>
      <w:r>
        <w:rPr>
          <w:lang w:val="en-US"/>
        </w:rPr>
        <w:lastRenderedPageBreak/>
        <w:t>Texture</w:t>
      </w:r>
      <w:r w:rsidR="00170E73">
        <w:rPr>
          <w:lang w:val="en-US"/>
        </w:rPr>
        <w:t>s.bin</w:t>
      </w:r>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cache. A single </w:t>
      </w:r>
      <w:proofErr w:type="spellStart"/>
      <w:r>
        <w:rPr>
          <w:lang w:val="en-US"/>
        </w:rPr>
        <w:t>Texture.bin</w:t>
      </w:r>
      <w:proofErr w:type="spellEnd"/>
      <w:r>
        <w:rPr>
          <w:lang w:val="en-US"/>
        </w:rPr>
        <w:t xml:space="preserve"> file contains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proofErr w:type="spellStart"/>
      <w:r>
        <w:rPr>
          <w:lang w:val="en-US"/>
        </w:rPr>
        <w:t>Geometry.bin</w:t>
      </w:r>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lastRenderedPageBreak/>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t xml:space="preserve">This part of the specification is currently not </w:t>
      </w:r>
      <w:r w:rsidR="00E22B71">
        <w:rPr>
          <w:lang w:val="en-US"/>
        </w:rPr>
        <w:t xml:space="preserve">maintained as it has been superseded by </w:t>
      </w:r>
      <w:proofErr w:type="spellStart"/>
      <w:r w:rsidR="00E22B71">
        <w:rPr>
          <w:lang w:val="en-US"/>
        </w:rPr>
        <w:t>CouchDB</w:t>
      </w:r>
      <w:proofErr w:type="spellEnd"/>
      <w:r w:rsidR="00E22B71">
        <w:rPr>
          <w:lang w:val="en-US"/>
        </w:rPr>
        <w:t xml:space="preserve"> and Bundled i3s storage</w:t>
      </w:r>
      <w:r>
        <w:rPr>
          <w:lang w:val="en-US"/>
        </w:rPr>
        <w:t>.</w:t>
      </w:r>
    </w:p>
    <w:p w:rsidR="00BA2822" w:rsidRDefault="00BA2822" w:rsidP="00BA2822">
      <w:pPr>
        <w:pStyle w:val="Heading2"/>
        <w:rPr>
          <w:lang w:val="en-US"/>
        </w:rPr>
      </w:pPr>
      <w:r>
        <w:rPr>
          <w:lang w:val="en-US"/>
        </w:rPr>
        <w:t xml:space="preserve">Storage in </w:t>
      </w:r>
      <w:proofErr w:type="spellStart"/>
      <w:r>
        <w:rPr>
          <w:lang w:val="en-US"/>
        </w:rPr>
        <w:t>CouchDB</w:t>
      </w:r>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caches benefit from this type of storage.</w:t>
      </w:r>
    </w:p>
    <w:p w:rsidR="00567FEF" w:rsidRPr="00567FEF" w:rsidRDefault="00567FEF" w:rsidP="00567FEF">
      <w:pPr>
        <w:pStyle w:val="Heading2"/>
        <w:rPr>
          <w:lang w:val="en-US"/>
        </w:rPr>
      </w:pPr>
      <w:r w:rsidRPr="00567FEF">
        <w:rPr>
          <w:lang w:val="en-US"/>
        </w:rPr>
        <w:t>Bundled Indexed 3d Scenes</w:t>
      </w:r>
    </w:p>
    <w:p w:rsidR="00567FEF" w:rsidRDefault="00567FEF" w:rsidP="00567FEF">
      <w:pPr>
        <w:rPr>
          <w:lang w:val="en-US"/>
        </w:rPr>
      </w:pPr>
      <w:r>
        <w:rPr>
          <w:lang w:val="en-US"/>
        </w:rPr>
        <w:t xml:space="preserve">A cache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r>
        <w:rPr>
          <w:lang w:val="en-US"/>
        </w:rPr>
        <w:t xml:space="preserve">Storage in </w:t>
      </w:r>
      <w:proofErr w:type="spellStart"/>
      <w:r>
        <w:rPr>
          <w:lang w:val="en-US"/>
        </w:rPr>
        <w:t>IndexedDB</w:t>
      </w:r>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 using partial URLs as key as described here:</w:t>
      </w:r>
    </w:p>
    <w:p w:rsidR="00A30B23" w:rsidRDefault="00A30B23" w:rsidP="00A30B23">
      <w:pPr>
        <w:pStyle w:val="Heading1"/>
        <w:rPr>
          <w:lang w:val="en-US"/>
        </w:rPr>
      </w:pPr>
      <w:r>
        <w:rPr>
          <w:lang w:val="en-US"/>
        </w:rPr>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AEF" w:rsidRDefault="00801AEF" w:rsidP="00567FEF">
      <w:pPr>
        <w:spacing w:after="0" w:line="240" w:lineRule="auto"/>
      </w:pPr>
      <w:r>
        <w:separator/>
      </w:r>
    </w:p>
  </w:endnote>
  <w:endnote w:type="continuationSeparator" w:id="0">
    <w:p w:rsidR="00801AEF" w:rsidRDefault="00801AEF"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80" w:rsidRDefault="005C2680">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062EED">
      <w:rPr>
        <w:noProof/>
      </w:rPr>
      <w:t>1</w:t>
    </w:r>
    <w:r>
      <w:rPr>
        <w:noProof/>
      </w:rPr>
      <w:fldChar w:fldCharType="end"/>
    </w:r>
  </w:p>
  <w:p w:rsidR="005C2680" w:rsidRDefault="005C2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AEF" w:rsidRDefault="00801AEF" w:rsidP="00567FEF">
      <w:pPr>
        <w:spacing w:after="0" w:line="240" w:lineRule="auto"/>
      </w:pPr>
      <w:r>
        <w:separator/>
      </w:r>
    </w:p>
  </w:footnote>
  <w:footnote w:type="continuationSeparator" w:id="0">
    <w:p w:rsidR="00801AEF" w:rsidRDefault="00801AEF" w:rsidP="00567FEF">
      <w:pPr>
        <w:spacing w:after="0" w:line="240" w:lineRule="auto"/>
      </w:pPr>
      <w:r>
        <w:continuationSeparator/>
      </w:r>
    </w:p>
  </w:footnote>
  <w:footnote w:id="1">
    <w:p w:rsidR="005C2680" w:rsidRPr="008A67ED" w:rsidRDefault="005C2680">
      <w:pPr>
        <w:pStyle w:val="FootnoteText"/>
        <w:rPr>
          <w:lang w:val="en-US"/>
        </w:rPr>
      </w:pPr>
      <w:r>
        <w:rPr>
          <w:rStyle w:val="FootnoteReference"/>
        </w:rPr>
        <w:footnoteRef/>
      </w:r>
      <w:r w:rsidRPr="008A67ED">
        <w:rPr>
          <w:lang w:val="en-US"/>
        </w:rPr>
        <w:t xml:space="preserve"> </w:t>
      </w:r>
      <w:r>
        <w:rPr>
          <w:lang w:val="en-US"/>
        </w:rPr>
        <w:t xml:space="preserve">Please refer to </w:t>
      </w:r>
      <w:r>
        <w:fldChar w:fldCharType="begin"/>
      </w:r>
      <w:r w:rsidRPr="001E0B97">
        <w:rPr>
          <w:lang w:val="en-US"/>
        </w:rPr>
        <w:instrText xml:space="preserve"> HYPERLINK "https://github.com/KhronosGroup/glTF/" </w:instrText>
      </w:r>
      <w:r>
        <w:fldChar w:fldCharType="separate"/>
      </w:r>
      <w:r w:rsidRPr="00104FB9">
        <w:rPr>
          <w:rStyle w:val="Hyperlink"/>
          <w:lang w:val="en-US"/>
        </w:rPr>
        <w:t>https://github.com/KhronosGroup/glTF/</w:t>
      </w:r>
      <w:r>
        <w:rPr>
          <w:rStyle w:val="Hyperlink"/>
          <w:lang w:val="en-US"/>
        </w:rPr>
        <w:fldChar w:fldCharType="end"/>
      </w:r>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5C2680" w:rsidRPr="00417196" w:rsidRDefault="005C2680">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5C2680" w:rsidRPr="00F044F0" w:rsidRDefault="005C2680">
      <w:pPr>
        <w:pStyle w:val="FootnoteText"/>
        <w:rPr>
          <w:lang w:val="en-US"/>
        </w:rPr>
      </w:pPr>
      <w:r>
        <w:rPr>
          <w:rStyle w:val="FootnoteReference"/>
        </w:rPr>
        <w:footnoteRef/>
      </w:r>
      <w:r w:rsidRPr="00F044F0">
        <w:rPr>
          <w:lang w:val="en-US"/>
        </w:rPr>
        <w:t xml:space="preserve"> </w:t>
      </w:r>
      <w:r>
        <w:rPr>
          <w:lang w:val="en-US"/>
        </w:rPr>
        <w:t xml:space="preserve">See </w:t>
      </w:r>
      <w:r>
        <w:fldChar w:fldCharType="begin"/>
      </w:r>
      <w:r w:rsidRPr="001E0B97">
        <w:rPr>
          <w:lang w:val="en-US"/>
        </w:rPr>
        <w:instrText xml:space="preserve"> HYPERLINK "http://code.google.com/p/regionator/wiki/Welcome" </w:instrText>
      </w:r>
      <w:r>
        <w:fldChar w:fldCharType="separate"/>
      </w:r>
      <w:r w:rsidRPr="00104FB9">
        <w:rPr>
          <w:rStyle w:val="Hyperlink"/>
          <w:lang w:val="en-US"/>
        </w:rPr>
        <w:t>http://code.google.com/p/regionator/wiki/Welcome</w:t>
      </w:r>
      <w:r>
        <w:rPr>
          <w:rStyle w:val="Hyperlink"/>
          <w:lang w:val="en-US"/>
        </w:rPr>
        <w:fldChar w:fldCharType="end"/>
      </w:r>
      <w:r>
        <w:rPr>
          <w:lang w:val="en-US"/>
        </w:rPr>
        <w:t xml:space="preserve"> for more information.</w:t>
      </w:r>
    </w:p>
  </w:footnote>
  <w:footnote w:id="4">
    <w:p w:rsidR="005C2680" w:rsidRPr="00A30B23" w:rsidRDefault="005C2680">
      <w:pPr>
        <w:pStyle w:val="FootnoteText"/>
        <w:rPr>
          <w:lang w:val="en-US"/>
        </w:rPr>
      </w:pPr>
      <w:r>
        <w:rPr>
          <w:rStyle w:val="FootnoteReference"/>
        </w:rPr>
        <w:footnoteRef/>
      </w:r>
      <w:r w:rsidRPr="00A30B23">
        <w:rPr>
          <w:lang w:val="en-US"/>
        </w:rPr>
        <w:t xml:space="preserve"> </w:t>
      </w:r>
      <w:r>
        <w:rPr>
          <w:lang w:val="en-US"/>
        </w:rPr>
        <w:t xml:space="preserve">Please refer to </w:t>
      </w:r>
      <w:r>
        <w:fldChar w:fldCharType="begin"/>
      </w:r>
      <w:r w:rsidRPr="001E0B97">
        <w:rPr>
          <w:lang w:val="en-US"/>
        </w:rPr>
        <w:instrText xml:space="preserve"> HYPERLINK "http://www.khronos.org/registry/typedarray/specs/latest/" </w:instrText>
      </w:r>
      <w:r>
        <w:fldChar w:fldCharType="separate"/>
      </w:r>
      <w:r w:rsidRPr="00104FB9">
        <w:rPr>
          <w:rStyle w:val="Hyperlink"/>
          <w:lang w:val="en-US"/>
        </w:rPr>
        <w:t>http://www.khronos.org/registry/typedarray/specs/latest/</w:t>
      </w:r>
      <w:r>
        <w:rPr>
          <w:rStyle w:val="Hyperlink"/>
          <w:lang w:val="en-US"/>
        </w:rPr>
        <w:fldChar w:fldCharType="end"/>
      </w:r>
      <w:r>
        <w:rPr>
          <w:lang w:val="en-US"/>
        </w:rPr>
        <w:t xml:space="preserve"> for the latest version of this specification.</w:t>
      </w:r>
    </w:p>
  </w:footnote>
  <w:footnote w:id="5">
    <w:p w:rsidR="005C2680" w:rsidRPr="00567FEF" w:rsidRDefault="005C2680">
      <w:pPr>
        <w:pStyle w:val="FootnoteText"/>
        <w:rPr>
          <w:lang w:val="en-US"/>
        </w:rPr>
      </w:pPr>
      <w:r>
        <w:rPr>
          <w:rStyle w:val="FootnoteReference"/>
        </w:rPr>
        <w:footnoteRef/>
      </w:r>
      <w:r w:rsidRPr="00567FEF">
        <w:rPr>
          <w:lang w:val="en-US"/>
        </w:rPr>
        <w:t xml:space="preserve"> Please refer to </w:t>
      </w:r>
      <w:r>
        <w:fldChar w:fldCharType="begin"/>
      </w:r>
      <w:r w:rsidRPr="001E0B97">
        <w:rPr>
          <w:lang w:val="en-US"/>
        </w:rPr>
        <w:instrText xml:space="preserve"> HYPERLINK "http://caniuse.com/" \l "feat=indexeddb" </w:instrText>
      </w:r>
      <w:r>
        <w:fldChar w:fldCharType="separate"/>
      </w:r>
      <w:r w:rsidRPr="00104FB9">
        <w:rPr>
          <w:rStyle w:val="Hyperlink"/>
          <w:lang w:val="en-US"/>
        </w:rPr>
        <w:t>http://caniuse.com/#feat=indexeddb</w:t>
      </w:r>
      <w:r>
        <w:rPr>
          <w:rStyle w:val="Hyperlink"/>
          <w:lang w:val="en-US"/>
        </w:rPr>
        <w:fldChar w:fldCharType="end"/>
      </w:r>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0609"/>
    <w:rsid w:val="00062EED"/>
    <w:rsid w:val="00063D69"/>
    <w:rsid w:val="00067874"/>
    <w:rsid w:val="000B6081"/>
    <w:rsid w:val="000C3502"/>
    <w:rsid w:val="000C55FB"/>
    <w:rsid w:val="000C7AE3"/>
    <w:rsid w:val="00116129"/>
    <w:rsid w:val="0014533B"/>
    <w:rsid w:val="00170E73"/>
    <w:rsid w:val="001A7B34"/>
    <w:rsid w:val="001E0B97"/>
    <w:rsid w:val="00246D96"/>
    <w:rsid w:val="00256A94"/>
    <w:rsid w:val="002C7F4E"/>
    <w:rsid w:val="002D7387"/>
    <w:rsid w:val="00303E6C"/>
    <w:rsid w:val="00385058"/>
    <w:rsid w:val="003961AC"/>
    <w:rsid w:val="003E0C5A"/>
    <w:rsid w:val="003F1015"/>
    <w:rsid w:val="0041076B"/>
    <w:rsid w:val="00411BCC"/>
    <w:rsid w:val="00412BC0"/>
    <w:rsid w:val="00417196"/>
    <w:rsid w:val="00483DC4"/>
    <w:rsid w:val="00485051"/>
    <w:rsid w:val="00491398"/>
    <w:rsid w:val="004935EB"/>
    <w:rsid w:val="004A2A7E"/>
    <w:rsid w:val="004B737A"/>
    <w:rsid w:val="00502A81"/>
    <w:rsid w:val="0052769F"/>
    <w:rsid w:val="0055488F"/>
    <w:rsid w:val="00567FEF"/>
    <w:rsid w:val="00581CE0"/>
    <w:rsid w:val="00597107"/>
    <w:rsid w:val="005A230C"/>
    <w:rsid w:val="005C2680"/>
    <w:rsid w:val="005D31E6"/>
    <w:rsid w:val="005E4EC0"/>
    <w:rsid w:val="006151EF"/>
    <w:rsid w:val="00620FC5"/>
    <w:rsid w:val="00625B45"/>
    <w:rsid w:val="00633901"/>
    <w:rsid w:val="00644E7E"/>
    <w:rsid w:val="00645362"/>
    <w:rsid w:val="006852E7"/>
    <w:rsid w:val="00693B7D"/>
    <w:rsid w:val="006D0F31"/>
    <w:rsid w:val="00742D34"/>
    <w:rsid w:val="007C2CAA"/>
    <w:rsid w:val="00801AEF"/>
    <w:rsid w:val="0080666F"/>
    <w:rsid w:val="00820378"/>
    <w:rsid w:val="008354A9"/>
    <w:rsid w:val="008553B2"/>
    <w:rsid w:val="008674A6"/>
    <w:rsid w:val="0087405A"/>
    <w:rsid w:val="00880CEA"/>
    <w:rsid w:val="008A67ED"/>
    <w:rsid w:val="008A76B2"/>
    <w:rsid w:val="008E12E9"/>
    <w:rsid w:val="00987BEC"/>
    <w:rsid w:val="009A314F"/>
    <w:rsid w:val="009A57FF"/>
    <w:rsid w:val="00A30B23"/>
    <w:rsid w:val="00A31F1C"/>
    <w:rsid w:val="00AC0682"/>
    <w:rsid w:val="00B035F6"/>
    <w:rsid w:val="00B24D63"/>
    <w:rsid w:val="00B51B85"/>
    <w:rsid w:val="00B55AF8"/>
    <w:rsid w:val="00B950F9"/>
    <w:rsid w:val="00BA2822"/>
    <w:rsid w:val="00BD64FC"/>
    <w:rsid w:val="00C66B17"/>
    <w:rsid w:val="00C74EF2"/>
    <w:rsid w:val="00CA7D2C"/>
    <w:rsid w:val="00D02588"/>
    <w:rsid w:val="00D12654"/>
    <w:rsid w:val="00D12E98"/>
    <w:rsid w:val="00D22A27"/>
    <w:rsid w:val="00D87498"/>
    <w:rsid w:val="00DA6672"/>
    <w:rsid w:val="00E2250A"/>
    <w:rsid w:val="00E22B71"/>
    <w:rsid w:val="00E2749F"/>
    <w:rsid w:val="00E64B47"/>
    <w:rsid w:val="00E7378F"/>
    <w:rsid w:val="00E7414A"/>
    <w:rsid w:val="00EB71D5"/>
    <w:rsid w:val="00EC6B43"/>
    <w:rsid w:val="00F044F0"/>
    <w:rsid w:val="00F55DFA"/>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3412F73-8AF6-4CA3-9AE1-43E0A3B5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3861</Words>
  <Characters>24329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16</cp:revision>
  <dcterms:created xsi:type="dcterms:W3CDTF">2013-04-30T15:15:00Z</dcterms:created>
  <dcterms:modified xsi:type="dcterms:W3CDTF">2013-05-24T20:57:00Z</dcterms:modified>
</cp:coreProperties>
</file>