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pPr>
      <w:r w:rsidDel="00000000" w:rsidR="00000000" w:rsidRPr="00000000">
        <w:rPr>
          <w:rtl w:val="0"/>
        </w:rPr>
        <w:t xml:space="preserve">In the Toronto COVID-19 Susceptibility Assessment web app, users can view locations of existing COVID-19 test centers, community health centers, hospitals, and major grocery chains and pharmacies. This data was included so users can see where these facilities are already located in the city of Toronto. In addition, susceptibility analysis maps based on economic factors and health-related factors are provided for the users. The weights for the factors included in these analyses were calculated by using a pairwise comparison matrix. Additionally, layers for each of the factors are included in both standardized rates per 1000 people and actual absolute count values for viewing and use in the tools.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web app contains 3 main features to help explore the data provided:</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Vulnerability Summary</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This tool gives the user a summary of the two susceptibility analysis maps based on economic and health-related factors. By using this tool, the user will be able to see the neighbourhoods organized into categories of vulnerability based on a pairwise comparison calculation.</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Custom Assessment </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If the user does not want to use the provided susceptibility assessment layers, this tool allows the user to identify susceptible neighbourhoods according to their own criteria. This can be useful when determining where to allocate food, funds, or medical resources based on specific values that the user may be interested in. Users can filter the health or economic factors using either the standardized rates or absolute counts of the criteria. If capacity or demand is a concern for your analysis, for example, if you are looking into hospital capacity, then filtering by counts can be useful.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Compare</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This tool allows the user to quickly and easily visualize the difference between two factors of interest by dragging a slider over the map. This can be useful for seeing how certain parts of the city differ in terms of different economic or health factors.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Other features of this web app include:</w:t>
      </w:r>
    </w:p>
    <w:p w:rsidR="00000000" w:rsidDel="00000000" w:rsidP="00000000" w:rsidRDefault="00000000" w:rsidRPr="00000000" w14:paraId="0000000C">
      <w:pPr>
        <w:rPr/>
      </w:pPr>
      <w:r w:rsidDel="00000000" w:rsidR="00000000" w:rsidRPr="00000000">
        <w:rPr>
          <w:rtl w:val="0"/>
        </w:rPr>
        <w:t xml:space="preserve">Tool Help: An in-depth information page for how to use each tool in the web app. </w:t>
      </w:r>
    </w:p>
    <w:p w:rsidR="00000000" w:rsidDel="00000000" w:rsidP="00000000" w:rsidRDefault="00000000" w:rsidRPr="00000000" w14:paraId="0000000D">
      <w:pPr>
        <w:rPr/>
      </w:pPr>
      <w:r w:rsidDel="00000000" w:rsidR="00000000" w:rsidRPr="00000000">
        <w:rPr>
          <w:rtl w:val="0"/>
        </w:rPr>
        <w:t xml:space="preserve">Layers List: Toggle visibility of data layers displayed on the map. </w:t>
      </w:r>
    </w:p>
    <w:p w:rsidR="00000000" w:rsidDel="00000000" w:rsidP="00000000" w:rsidRDefault="00000000" w:rsidRPr="00000000" w14:paraId="0000000E">
      <w:pPr>
        <w:rPr/>
      </w:pPr>
      <w:r w:rsidDel="00000000" w:rsidR="00000000" w:rsidRPr="00000000">
        <w:rPr>
          <w:rtl w:val="0"/>
        </w:rPr>
        <w:t xml:space="preserve">Legend: View the legends of visible layers on the map.</w:t>
      </w:r>
    </w:p>
    <w:p w:rsidR="00000000" w:rsidDel="00000000" w:rsidP="00000000" w:rsidRDefault="00000000" w:rsidRPr="00000000" w14:paraId="0000000F">
      <w:pPr>
        <w:rPr/>
      </w:pPr>
      <w:r w:rsidDel="00000000" w:rsidR="00000000" w:rsidRPr="00000000">
        <w:rPr>
          <w:rtl w:val="0"/>
        </w:rPr>
        <w:t xml:space="preserve">Bookmark: Stores a collection of map view extents. Users can create their own custom bookmarks for their own areas of interest.</w:t>
      </w:r>
    </w:p>
    <w:p w:rsidR="00000000" w:rsidDel="00000000" w:rsidP="00000000" w:rsidRDefault="00000000" w:rsidRPr="00000000" w14:paraId="00000010">
      <w:pPr>
        <w:rPr/>
      </w:pPr>
      <w:r w:rsidDel="00000000" w:rsidR="00000000" w:rsidRPr="00000000">
        <w:rPr>
          <w:rtl w:val="0"/>
        </w:rPr>
        <w:t xml:space="preserve">Share: Allows users to share an app through social media. This tool is a great resource for sharing with colleagues and community partners.</w:t>
      </w:r>
    </w:p>
    <w:p w:rsidR="00000000" w:rsidDel="00000000" w:rsidP="00000000" w:rsidRDefault="00000000" w:rsidRPr="00000000" w14:paraId="00000011">
      <w:pPr>
        <w:rPr/>
      </w:pPr>
      <w:r w:rsidDel="00000000" w:rsidR="00000000" w:rsidRPr="00000000">
        <w:rPr>
          <w:rtl w:val="0"/>
        </w:rPr>
        <w:t xml:space="preserve">Print: Generate and export a map in multiple formats such as PDFs. This tool is useful for creating physical outputs of the map.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