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hd w:fill="ffffff" w:val="clear"/>
        <w:spacing w:after="240" w:line="300" w:lineRule="auto"/>
        <w:rPr>
          <w:color w:val="24292e"/>
          <w:sz w:val="24"/>
          <w:szCs w:val="24"/>
        </w:rPr>
      </w:pPr>
      <w:bookmarkStart w:colFirst="0" w:colLast="0" w:name="_xxze3o7usdin" w:id="0"/>
      <w:bookmarkEnd w:id="0"/>
      <w:r w:rsidDel="00000000" w:rsidR="00000000" w:rsidRPr="00000000">
        <w:rPr>
          <w:b w:val="1"/>
          <w:color w:val="24292e"/>
          <w:sz w:val="34"/>
          <w:szCs w:val="34"/>
          <w:rtl w:val="0"/>
        </w:rPr>
        <w:t xml:space="preserve">Mission Statement</w:t>
      </w:r>
      <w:r w:rsidDel="00000000" w:rsidR="00000000" w:rsidRPr="00000000">
        <w:rPr>
          <w:rtl w:val="0"/>
        </w:rPr>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Assault is a criminal offence in Canada with serious consequences. There are various types of assaults, each with its own set of consequences. In recent years, there has been a rapid increase in the number of police-reported assault cases across the country. Police-reported crime in Toronto, measured by the Toronto Police Service, increased 25% from 16,807 cases in 2014 to 21,092 cases in 2019. Low-income Canadians are more likely than higher-income Canadians to report socially disruptive conditions in their neighbourhoods. The socially disruptive conditions reported by low-income Canadians may reflect levels of crime in their neighbourhoods. Furthermore, low-income Canadians expressed greater fear or concern in specific situations such as walking alone at night in their neighbourhood, using public transportation after dark and being at home alone at night. People in vulnerable positions and are in vulnerable groups (i.e. women and children), are more likely to come across an assault. In 2015, the United Nations established Sustainable Development Goal 10, “Reduce inequality within and among countries”, to ensure in reducing inequalities within vulnerable groups by 2030.</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