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Avenir" w:cs="Avenir" w:eastAsia="Avenir" w:hAnsi="Avenir"/>
        </w:rPr>
      </w:pPr>
      <w:r w:rsidDel="00000000" w:rsidR="00000000" w:rsidRPr="00000000">
        <w:rPr>
          <w:rFonts w:ascii="Avenir" w:cs="Avenir" w:eastAsia="Avenir" w:hAnsi="Avenir"/>
          <w:rtl w:val="0"/>
        </w:rPr>
        <w:t xml:space="preserve">Our app is designed to be a comprehensive and user-friendly platform that empowers users to explore, compare, and understand different neighbourhoods based on their specific criteria and preferences. Here are the key characteristics that set our app apart:</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Informed Decision-Making</w:t>
      </w:r>
      <w:r w:rsidDel="00000000" w:rsidR="00000000" w:rsidRPr="00000000">
        <w:rPr>
          <w:rFonts w:ascii="Avenir" w:cs="Avenir" w:eastAsia="Avenir" w:hAnsi="Avenir"/>
          <w:rtl w:val="0"/>
        </w:rPr>
        <w:t xml:space="preserve">:</w:t>
      </w:r>
    </w:p>
    <w:p w:rsidR="00000000" w:rsidDel="00000000" w:rsidP="00000000" w:rsidRDefault="00000000" w:rsidRPr="00000000" w14:paraId="00000003">
      <w:pPr>
        <w:numPr>
          <w:ilvl w:val="1"/>
          <w:numId w:val="1"/>
        </w:numPr>
        <w:spacing w:after="0" w:afterAutospacing="0" w:lineRule="auto"/>
        <w:ind w:left="1440" w:hanging="360"/>
        <w:rPr>
          <w:rFonts w:ascii="Avenir" w:cs="Avenir" w:eastAsia="Avenir" w:hAnsi="Avenir"/>
        </w:rPr>
      </w:pPr>
      <w:r w:rsidDel="00000000" w:rsidR="00000000" w:rsidRPr="00000000">
        <w:rPr>
          <w:rFonts w:ascii="Avenir" w:cs="Avenir" w:eastAsia="Avenir" w:hAnsi="Avenir"/>
          <w:rtl w:val="0"/>
        </w:rPr>
        <w:t xml:space="preserve">Clear and concise neighbourhood profiles, insights, and information to help users make informed decisions about where to live.</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Future Updates and Fine-Tuning</w:t>
      </w:r>
      <w:r w:rsidDel="00000000" w:rsidR="00000000" w:rsidRPr="00000000">
        <w:rPr>
          <w:rFonts w:ascii="Avenir" w:cs="Avenir" w:eastAsia="Avenir" w:hAnsi="Avenir"/>
          <w:rtl w:val="0"/>
        </w:rPr>
        <w:t xml:space="preserve">:</w:t>
      </w:r>
    </w:p>
    <w:p w:rsidR="00000000" w:rsidDel="00000000" w:rsidP="00000000" w:rsidRDefault="00000000" w:rsidRPr="00000000" w14:paraId="00000005">
      <w:pPr>
        <w:numPr>
          <w:ilvl w:val="1"/>
          <w:numId w:val="1"/>
        </w:numPr>
        <w:spacing w:after="0" w:afterAutospacing="0" w:lineRule="auto"/>
        <w:ind w:left="1440" w:hanging="360"/>
        <w:rPr>
          <w:rFonts w:ascii="Avenir" w:cs="Avenir" w:eastAsia="Avenir" w:hAnsi="Avenir"/>
        </w:rPr>
      </w:pPr>
      <w:r w:rsidDel="00000000" w:rsidR="00000000" w:rsidRPr="00000000">
        <w:rPr>
          <w:rFonts w:ascii="Avenir" w:cs="Avenir" w:eastAsia="Avenir" w:hAnsi="Avenir"/>
          <w:rtl w:val="0"/>
        </w:rPr>
        <w:t xml:space="preserve">Commitment to continuous improvement and user satisfaction with plans to add more categories in upcoming updates to further fine-tune the choices users can make.</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Ease of Use and Consumer-Friendly Platform</w:t>
      </w:r>
      <w:r w:rsidDel="00000000" w:rsidR="00000000" w:rsidRPr="00000000">
        <w:rPr>
          <w:rFonts w:ascii="Avenir" w:cs="Avenir" w:eastAsia="Avenir" w:hAnsi="Avenir"/>
          <w:rtl w:val="0"/>
        </w:rPr>
        <w:t xml:space="preserve">:</w:t>
      </w:r>
    </w:p>
    <w:p w:rsidR="00000000" w:rsidDel="00000000" w:rsidP="00000000" w:rsidRDefault="00000000" w:rsidRPr="00000000" w14:paraId="00000007">
      <w:pPr>
        <w:numPr>
          <w:ilvl w:val="1"/>
          <w:numId w:val="1"/>
        </w:numPr>
        <w:spacing w:after="0" w:afterAutospacing="0" w:lineRule="auto"/>
        <w:ind w:left="1440" w:hanging="360"/>
        <w:rPr>
          <w:rFonts w:ascii="Avenir" w:cs="Avenir" w:eastAsia="Avenir" w:hAnsi="Avenir"/>
        </w:rPr>
      </w:pPr>
      <w:r w:rsidDel="00000000" w:rsidR="00000000" w:rsidRPr="00000000">
        <w:rPr>
          <w:rFonts w:ascii="Avenir" w:cs="Avenir" w:eastAsia="Avenir" w:hAnsi="Avenir"/>
          <w:rtl w:val="0"/>
        </w:rPr>
        <w:t xml:space="preserve">Intuitive interface, simple navigation, and user-friendly features that make neighbourhood exploration and comparison effortless and enjoyable. Aspects, such as the ability to swipe to learn more about regional trends in all aspects of our information, alongside graphs, which paint a more in-depth picture. On the other hand, simply toggling on/off variables provides a simplified first glance. </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Community Engagement and Social Programs</w:t>
      </w:r>
      <w:r w:rsidDel="00000000" w:rsidR="00000000" w:rsidRPr="00000000">
        <w:rPr>
          <w:rFonts w:ascii="Avenir" w:cs="Avenir" w:eastAsia="Avenir" w:hAnsi="Avenir"/>
          <w:rtl w:val="0"/>
        </w:rPr>
        <w:t xml:space="preserve">:</w:t>
      </w:r>
    </w:p>
    <w:p w:rsidR="00000000" w:rsidDel="00000000" w:rsidP="00000000" w:rsidRDefault="00000000" w:rsidRPr="00000000" w14:paraId="00000009">
      <w:pPr>
        <w:numPr>
          <w:ilvl w:val="1"/>
          <w:numId w:val="1"/>
        </w:numPr>
        <w:spacing w:after="0" w:afterAutospacing="0" w:lineRule="auto"/>
        <w:ind w:left="1440" w:hanging="360"/>
        <w:rPr>
          <w:rFonts w:ascii="Avenir" w:cs="Avenir" w:eastAsia="Avenir" w:hAnsi="Avenir"/>
        </w:rPr>
      </w:pPr>
      <w:r w:rsidDel="00000000" w:rsidR="00000000" w:rsidRPr="00000000">
        <w:rPr>
          <w:rFonts w:ascii="Avenir" w:cs="Avenir" w:eastAsia="Avenir" w:hAnsi="Avenir"/>
          <w:rtl w:val="0"/>
        </w:rPr>
        <w:t xml:space="preserve">Highlights neighbourhoods with strong community engagement, social programs like EarlyON centres, and ample green space to enhance the quality of life and well-being.</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Transport Systems and Accessibility</w:t>
      </w:r>
      <w:r w:rsidDel="00000000" w:rsidR="00000000" w:rsidRPr="00000000">
        <w:rPr>
          <w:rFonts w:ascii="Avenir" w:cs="Avenir" w:eastAsia="Avenir" w:hAnsi="Avenir"/>
          <w:rtl w:val="0"/>
        </w:rPr>
        <w:t xml:space="preserve">:</w:t>
      </w:r>
    </w:p>
    <w:p w:rsidR="00000000" w:rsidDel="00000000" w:rsidP="00000000" w:rsidRDefault="00000000" w:rsidRPr="00000000" w14:paraId="0000000B">
      <w:pPr>
        <w:numPr>
          <w:ilvl w:val="1"/>
          <w:numId w:val="1"/>
        </w:numPr>
        <w:spacing w:after="0" w:afterAutospacing="0" w:lineRule="auto"/>
        <w:ind w:left="1440" w:hanging="360"/>
        <w:rPr>
          <w:rFonts w:ascii="Avenir" w:cs="Avenir" w:eastAsia="Avenir" w:hAnsi="Avenir"/>
        </w:rPr>
      </w:pPr>
      <w:r w:rsidDel="00000000" w:rsidR="00000000" w:rsidRPr="00000000">
        <w:rPr>
          <w:rFonts w:ascii="Avenir" w:cs="Avenir" w:eastAsia="Avenir" w:hAnsi="Avenir"/>
          <w:rtl w:val="0"/>
        </w:rPr>
        <w:t xml:space="preserve">Evaluates neighbourhoods based on transportation options, including public transportation and bike lanes to support convenient commuting and mobility.</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Fonts w:ascii="Avenir" w:cs="Avenir" w:eastAsia="Avenir" w:hAnsi="Avenir"/>
          <w:b w:val="1"/>
          <w:rtl w:val="0"/>
        </w:rPr>
        <w:t xml:space="preserve">Sustainable Growth and Housing Affordability</w:t>
      </w:r>
      <w:r w:rsidDel="00000000" w:rsidR="00000000" w:rsidRPr="00000000">
        <w:rPr>
          <w:rFonts w:ascii="Avenir" w:cs="Avenir" w:eastAsia="Avenir" w:hAnsi="Avenir"/>
          <w:rtl w:val="0"/>
        </w:rPr>
        <w:t xml:space="preserve">:</w:t>
      </w:r>
    </w:p>
    <w:p w:rsidR="00000000" w:rsidDel="00000000" w:rsidP="00000000" w:rsidRDefault="00000000" w:rsidRPr="00000000" w14:paraId="0000000D">
      <w:pPr>
        <w:numPr>
          <w:ilvl w:val="1"/>
          <w:numId w:val="1"/>
        </w:numPr>
        <w:spacing w:after="240" w:lineRule="auto"/>
        <w:ind w:left="1440" w:hanging="360"/>
        <w:rPr>
          <w:rFonts w:ascii="Avenir" w:cs="Avenir" w:eastAsia="Avenir" w:hAnsi="Avenir"/>
        </w:rPr>
      </w:pPr>
      <w:r w:rsidDel="00000000" w:rsidR="00000000" w:rsidRPr="00000000">
        <w:rPr>
          <w:rFonts w:ascii="Avenir" w:cs="Avenir" w:eastAsia="Avenir" w:hAnsi="Avenir"/>
          <w:rtl w:val="0"/>
        </w:rPr>
        <w:t xml:space="preserve">Promotes sustainable growth by highlighting neighbourhoods with green spaces and addresses housing affordability through insights into affordable housing options and trends.</w:t>
      </w:r>
    </w:p>
    <w:p w:rsidR="00000000" w:rsidDel="00000000" w:rsidP="00000000" w:rsidRDefault="00000000" w:rsidRPr="00000000" w14:paraId="0000000E">
      <w:pPr>
        <w:spacing w:after="240" w:before="240" w:lineRule="auto"/>
        <w:ind w:left="780" w:firstLine="0"/>
        <w:rPr>
          <w:rFonts w:ascii="Avenir" w:cs="Avenir" w:eastAsia="Avenir" w:hAnsi="Avenir"/>
        </w:rPr>
      </w:pPr>
      <w:r w:rsidDel="00000000" w:rsidR="00000000" w:rsidRPr="00000000">
        <w:rPr>
          <w:rFonts w:ascii="Avenir" w:cs="Avenir" w:eastAsia="Avenir" w:hAnsi="Avenir"/>
          <w:rtl w:val="0"/>
        </w:rPr>
        <w:t xml:space="preserve">By combining these key characteristics, our app aims to provide users with a holistic and strategic platform that not only answers the crucial question of 'Where should you move?' but also encourages sustainable growth, community engagement, and informed decision-making. As cities continue to evolve, our app serves as a valuable tool for residents, newcomers, and urban planners alike to navigate the complexities of urban expansion and shape the future of our cities positively and inclusively.</w:t>
      </w:r>
    </w:p>
    <w:p w:rsidR="00000000" w:rsidDel="00000000" w:rsidP="00000000" w:rsidRDefault="00000000" w:rsidRPr="00000000" w14:paraId="0000000F">
      <w:pPr>
        <w:rPr>
          <w:rFonts w:ascii="Avenir" w:cs="Avenir" w:eastAsia="Avenir" w:hAnsi="Aveni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