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Mission Statement: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Our mission is to equip users with a fundamental comprehension of urbanization while offering visual representation of its proliferation in Canada, with a focus on the Southern Ontario region, specifically the Toronto Census Metropolitan Area (CMA). We aim to illustrate the impact of uncontrolled urban growth, particularly on the environment, through clear descriptions and visual aids. Furthermore, we seek to highlight the threat urbanization poses to natural areas within the CMA, such as Ontario’s Greenbelt. In addition to raising awareness, we strive to provide valuable insights into potential solutions to mitigate the adverse effects of urbanization, fostering informed decision-making and sustainable practices for the future.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Characteristics of our app</w:t>
      </w:r>
      <w:r w:rsidDel="00000000" w:rsidR="00000000" w:rsidRPr="00000000">
        <w:rPr>
          <w:rtl w:val="0"/>
        </w:rPr>
        <w:t xml:space="preserv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Our app provides a straightforward introduction to the topic of urbanization and the issues associated with the topic.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Users can learn about Ontario’s Greenbelt and which currently protected areas are susceptible to future development. Data for the greenbelt include the regional categories, towns and villages, hamlets (undeveloped settlements), riverways, specialty crops, and parks (provincial and municipal).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Data showing urban growth from 1971 to 2020 that are categorized as established areas (population of at least 500 residents).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Users can overlap the data layers to see the extent of the urban areas and possible encroachment onto the Greenbelt.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Experience Builder link: </w:t>
      </w:r>
      <w:hyperlink r:id="rId6">
        <w:r w:rsidDel="00000000" w:rsidR="00000000" w:rsidRPr="00000000">
          <w:rPr>
            <w:color w:val="1155cc"/>
            <w:u w:val="single"/>
            <w:rtl w:val="0"/>
          </w:rPr>
          <w:t xml:space="preserve">https://experience.arcgis.com/experience/10a4405ff6a94cc8b87dffc3c01c0d45/</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Website link:</w:t>
      </w:r>
    </w:p>
    <w:p w:rsidR="00000000" w:rsidDel="00000000" w:rsidP="00000000" w:rsidRDefault="00000000" w:rsidRPr="00000000" w14:paraId="0000000F">
      <w:pPr>
        <w:rPr/>
      </w:pPr>
      <w:hyperlink r:id="rId7">
        <w:r w:rsidDel="00000000" w:rsidR="00000000" w:rsidRPr="00000000">
          <w:rPr>
            <w:color w:val="1155cc"/>
            <w:u w:val="single"/>
            <w:rtl w:val="0"/>
          </w:rPr>
          <w:t xml:space="preserve">Raccoon Tycoons (vinn03.dev)</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erience.arcgis.com/experience/10a4405ff6a94cc8b87dffc3c01c0d45/" TargetMode="External"/><Relationship Id="rId7" Type="http://schemas.openxmlformats.org/officeDocument/2006/relationships/hyperlink" Target="https://www.vinn03.dev/urbant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