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720"/>
        <w:rPr>
          <w:sz w:val="24"/>
          <w:szCs w:val="24"/>
        </w:rPr>
      </w:pPr>
      <w:r w:rsidDel="00000000" w:rsidR="00000000" w:rsidRPr="00000000">
        <w:rPr>
          <w:sz w:val="24"/>
          <w:szCs w:val="24"/>
          <w:rtl w:val="0"/>
        </w:rPr>
        <w:t xml:space="preserve">Rather than just being another policy tool, our app portrays the power of data-driven visual analysis on the neighbourhoods left behind by urban half-measures and predominantly car-centric design. Our app layers empirical data like traffic counts, collision reports, income data and so much more. For example, our app can show users where bike lanes disappear throughout the landscape; show where ‘rapid transit’ actually means overcrowded buses and where families have to pay more for gas than groceries due to lack of better, and more sustainable options. This is done through the following characteristics:</w:t>
      </w:r>
    </w:p>
    <w:p w:rsidR="00000000" w:rsidDel="00000000" w:rsidP="00000000" w:rsidRDefault="00000000" w:rsidRPr="00000000" w14:paraId="00000002">
      <w:pPr>
        <w:numPr>
          <w:ilvl w:val="0"/>
          <w:numId w:val="1"/>
        </w:numPr>
        <w:spacing w:after="240" w:before="240" w:lineRule="auto"/>
        <w:ind w:left="720" w:hanging="360"/>
        <w:rPr>
          <w:sz w:val="24"/>
          <w:szCs w:val="24"/>
        </w:rPr>
      </w:pPr>
      <w:r w:rsidDel="00000000" w:rsidR="00000000" w:rsidRPr="00000000">
        <w:rPr>
          <w:sz w:val="24"/>
          <w:szCs w:val="24"/>
          <w:rtl w:val="0"/>
        </w:rPr>
        <w:t xml:space="preserve">Infrastructure Gap Identification</w:t>
      </w:r>
    </w:p>
    <w:p w:rsidR="00000000" w:rsidDel="00000000" w:rsidP="00000000" w:rsidRDefault="00000000" w:rsidRPr="00000000" w14:paraId="00000003">
      <w:pPr>
        <w:spacing w:after="240" w:before="240" w:lineRule="auto"/>
        <w:ind w:left="1440" w:firstLine="0"/>
        <w:rPr>
          <w:sz w:val="24"/>
          <w:szCs w:val="24"/>
        </w:rPr>
      </w:pPr>
      <w:r w:rsidDel="00000000" w:rsidR="00000000" w:rsidRPr="00000000">
        <w:rPr>
          <w:sz w:val="24"/>
          <w:szCs w:val="24"/>
          <w:rtl w:val="0"/>
        </w:rPr>
        <w:t xml:space="preserve">Maps missing bike lanes, and transit deserts using city traffic data, collision reports, and population density.</w:t>
      </w:r>
    </w:p>
    <w:p w:rsidR="00000000" w:rsidDel="00000000" w:rsidP="00000000" w:rsidRDefault="00000000" w:rsidRPr="00000000" w14:paraId="00000004">
      <w:pPr>
        <w:numPr>
          <w:ilvl w:val="0"/>
          <w:numId w:val="1"/>
        </w:numPr>
        <w:spacing w:after="240" w:before="300" w:lineRule="auto"/>
        <w:ind w:left="720" w:hanging="360"/>
        <w:rPr>
          <w:sz w:val="24"/>
          <w:szCs w:val="24"/>
        </w:rPr>
      </w:pPr>
      <w:r w:rsidDel="00000000" w:rsidR="00000000" w:rsidRPr="00000000">
        <w:rPr>
          <w:sz w:val="24"/>
          <w:szCs w:val="24"/>
          <w:rtl w:val="0"/>
        </w:rPr>
        <w:t xml:space="preserve">Demand Visualization</w:t>
      </w:r>
    </w:p>
    <w:p w:rsidR="00000000" w:rsidDel="00000000" w:rsidP="00000000" w:rsidRDefault="00000000" w:rsidRPr="00000000" w14:paraId="00000005">
      <w:pPr>
        <w:spacing w:after="240" w:before="240" w:lineRule="auto"/>
        <w:ind w:left="1440" w:firstLine="0"/>
        <w:rPr>
          <w:sz w:val="24"/>
          <w:szCs w:val="24"/>
        </w:rPr>
      </w:pPr>
      <w:r w:rsidDel="00000000" w:rsidR="00000000" w:rsidRPr="00000000">
        <w:rPr>
          <w:sz w:val="24"/>
          <w:szCs w:val="24"/>
          <w:rtl w:val="0"/>
        </w:rPr>
        <w:t xml:space="preserve">Overlays bike-share usage, and transit delays to show where alternatives to driving are needed most.</w:t>
      </w:r>
    </w:p>
    <w:p w:rsidR="00000000" w:rsidDel="00000000" w:rsidP="00000000" w:rsidRDefault="00000000" w:rsidRPr="00000000" w14:paraId="00000006">
      <w:pPr>
        <w:numPr>
          <w:ilvl w:val="0"/>
          <w:numId w:val="1"/>
        </w:numPr>
        <w:spacing w:after="240" w:before="300" w:lineRule="auto"/>
        <w:ind w:left="720" w:hanging="360"/>
        <w:rPr>
          <w:sz w:val="24"/>
          <w:szCs w:val="24"/>
        </w:rPr>
      </w:pPr>
      <w:r w:rsidDel="00000000" w:rsidR="00000000" w:rsidRPr="00000000">
        <w:rPr>
          <w:sz w:val="24"/>
          <w:szCs w:val="24"/>
          <w:rtl w:val="0"/>
        </w:rPr>
        <w:t xml:space="preserve">High-Impact Project Prioritization</w:t>
      </w:r>
    </w:p>
    <w:p w:rsidR="00000000" w:rsidDel="00000000" w:rsidP="00000000" w:rsidRDefault="00000000" w:rsidRPr="00000000" w14:paraId="00000007">
      <w:pPr>
        <w:spacing w:after="240" w:before="240" w:lineRule="auto"/>
        <w:ind w:left="1440" w:firstLine="0"/>
        <w:rPr>
          <w:sz w:val="24"/>
          <w:szCs w:val="24"/>
        </w:rPr>
      </w:pPr>
      <w:r w:rsidDel="00000000" w:rsidR="00000000" w:rsidRPr="00000000">
        <w:rPr>
          <w:sz w:val="24"/>
          <w:szCs w:val="24"/>
          <w:rtl w:val="0"/>
        </w:rPr>
        <w:t xml:space="preserve">Allows planners to flag low-cost, high-return interventions (e.g. identifying where high rates of car/bike collisions are located to place barriers, or rectify the situation on a micro scale ). </w:t>
      </w:r>
    </w:p>
    <w:p w:rsidR="00000000" w:rsidDel="00000000" w:rsidP="00000000" w:rsidRDefault="00000000" w:rsidRPr="00000000" w14:paraId="00000008">
      <w:pPr>
        <w:numPr>
          <w:ilvl w:val="0"/>
          <w:numId w:val="1"/>
        </w:numPr>
        <w:spacing w:after="240" w:before="300" w:lineRule="auto"/>
        <w:ind w:left="720" w:hanging="360"/>
        <w:rPr>
          <w:sz w:val="24"/>
          <w:szCs w:val="24"/>
        </w:rPr>
      </w:pPr>
      <w:r w:rsidDel="00000000" w:rsidR="00000000" w:rsidRPr="00000000">
        <w:rPr>
          <w:sz w:val="24"/>
          <w:szCs w:val="24"/>
          <w:rtl w:val="0"/>
        </w:rPr>
        <w:t xml:space="preserve">Equity Filtering</w:t>
      </w:r>
    </w:p>
    <w:p w:rsidR="00000000" w:rsidDel="00000000" w:rsidP="00000000" w:rsidRDefault="00000000" w:rsidRPr="00000000" w14:paraId="00000009">
      <w:pPr>
        <w:spacing w:after="240" w:before="240" w:lineRule="auto"/>
        <w:ind w:left="1440" w:firstLine="0"/>
        <w:rPr>
          <w:sz w:val="24"/>
          <w:szCs w:val="24"/>
        </w:rPr>
      </w:pPr>
      <w:r w:rsidDel="00000000" w:rsidR="00000000" w:rsidRPr="00000000">
        <w:rPr>
          <w:sz w:val="24"/>
          <w:szCs w:val="24"/>
          <w:rtl w:val="0"/>
        </w:rPr>
        <w:t xml:space="preserve">Highlights underserved neighborhoods using uneven access to transit, bikeshares, increased rates of crashes, etc. </w:t>
      </w:r>
    </w:p>
    <w:p w:rsidR="00000000" w:rsidDel="00000000" w:rsidP="00000000" w:rsidRDefault="00000000" w:rsidRPr="00000000" w14:paraId="0000000A">
      <w:pPr>
        <w:numPr>
          <w:ilvl w:val="0"/>
          <w:numId w:val="1"/>
        </w:numPr>
        <w:spacing w:after="240" w:before="300" w:lineRule="auto"/>
        <w:ind w:left="720" w:hanging="360"/>
        <w:rPr>
          <w:sz w:val="24"/>
          <w:szCs w:val="24"/>
        </w:rPr>
      </w:pPr>
      <w:r w:rsidDel="00000000" w:rsidR="00000000" w:rsidRPr="00000000">
        <w:rPr>
          <w:sz w:val="24"/>
          <w:szCs w:val="24"/>
          <w:rtl w:val="0"/>
        </w:rPr>
        <w:t xml:space="preserve">Global Benchmarking:</w:t>
      </w:r>
    </w:p>
    <w:p w:rsidR="00000000" w:rsidDel="00000000" w:rsidP="00000000" w:rsidRDefault="00000000" w:rsidRPr="00000000" w14:paraId="0000000B">
      <w:pPr>
        <w:spacing w:after="240" w:before="300" w:lineRule="auto"/>
        <w:ind w:left="720" w:firstLine="0"/>
        <w:rPr>
          <w:sz w:val="24"/>
          <w:szCs w:val="24"/>
        </w:rPr>
      </w:pPr>
      <w:r w:rsidDel="00000000" w:rsidR="00000000" w:rsidRPr="00000000">
        <w:rPr>
          <w:sz w:val="24"/>
          <w:szCs w:val="24"/>
          <w:rtl w:val="0"/>
        </w:rPr>
        <w:t xml:space="preserve">Compares Toronto’s transit options to global cities and what we can learn from them, but also the opportunity we have to leapfrog them.</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sz w:val="24"/>
          <w:szCs w:val="24"/>
          <w:highlight w:val="white"/>
          <w:rtl w:val="0"/>
        </w:rPr>
        <w:t xml:space="preserve"> Every recommendation is grounded in what’s already working elsewhere—no reinventing the wheel, just adapting proven solutions to Toronto’s sprawl while providing the data in an attention grabbing and intuitive way. </w:t>
      </w:r>
      <w:r w:rsidDel="00000000" w:rsidR="00000000" w:rsidRPr="00000000">
        <w:rPr>
          <w:rtl w:val="0"/>
        </w:rPr>
      </w:r>
    </w:p>
    <w:p w:rsidR="00000000" w:rsidDel="00000000" w:rsidP="00000000" w:rsidRDefault="00000000" w:rsidRPr="00000000" w14:paraId="0000000D">
      <w:pPr>
        <w:spacing w:after="240" w:before="240" w:lineRule="auto"/>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