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Statement of Characteristics: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multiple features that make this app appealing to both a large and diverse user base. Firstly, the layout of the dashboard is configured to allow for users to toggle between each information tab, which serves to give a basic understanding of the analysis that was performed, as well as the reasoning for it. Second, the menu tab provides users with the ability to take a closer look at each location involved in the analysis, with corresponding pop-ups assigned to each area which showcases a comprehensive list of statistics relating to the affordability of each location. Rounding out the list of features are the two charts of standardized data located at the bottom of the dashboard. The data was standardized using Edmonton as the median, in order to establish a baseline from which other areas would be deemed affordable or unaffordable. The bar graph on the left is intended to illustrate the varying levels of affordability observed in each location when taking into consideration both median salary, as well as living expenses on a per-year basis. The second chart located on the right details the standardized cost of each major living expense, allowing for a clear picture of where the priorities of each area lie in regard to different living expenses. The aforementioned features combine to create a visual output that is easy to interpret, and takes into account a myriad of different factors that contribute to the cost of living, ensuring that each user leaves the dashboard thoroughly informed on the area of their choosing.</w:t>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