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E7AC3" w14:textId="77777777" w:rsidR="00034E50" w:rsidRDefault="00000000">
      <w:pPr>
        <w:pStyle w:val="Heading1"/>
        <w:jc w:val="center"/>
      </w:pPr>
      <w:r>
        <w:t>Investment Policy Statement</w:t>
      </w:r>
    </w:p>
    <w:p w14:paraId="41B88007" w14:textId="77777777" w:rsidR="00034E50" w:rsidRDefault="00000000">
      <w:pPr>
        <w:jc w:val="center"/>
      </w:pPr>
      <w:r>
        <w:t>Aurora Ridge University</w:t>
      </w:r>
      <w:r>
        <w:br/>
        <w:t>University Endowment Fund</w:t>
      </w:r>
    </w:p>
    <w:p w14:paraId="5E1469AD" w14:textId="77777777" w:rsidR="00034E50" w:rsidRDefault="00000000">
      <w:pPr>
        <w:jc w:val="center"/>
      </w:pPr>
      <w:r>
        <w:t>Approved by the Board of Governors on January 15, 2026</w:t>
      </w:r>
    </w:p>
    <w:p w14:paraId="50270995" w14:textId="77777777" w:rsidR="00034E50" w:rsidRDefault="00034E50"/>
    <w:p w14:paraId="04A77D03" w14:textId="77777777" w:rsidR="00034E50" w:rsidRDefault="00000000">
      <w:pPr>
        <w:pStyle w:val="Heading2"/>
      </w:pPr>
      <w:r>
        <w:t>1. Introduction, Scope and Purpose</w:t>
      </w:r>
    </w:p>
    <w:p w14:paraId="28739470" w14:textId="77777777" w:rsidR="00034E50" w:rsidRDefault="00000000">
      <w:r>
        <w:t>The Aurora Ridge University Endowment Fund (“Fund”) exists to support the long-term academic mission of the University. The Fund is structured as a pooled endowment designed to preserve intergenerational equity while providing stable annual distributions. This Investment Policy Statement (IPS) establishes governance structure, investment objectives, risk parameters, and operational guidelines.</w:t>
      </w:r>
    </w:p>
    <w:p w14:paraId="751256F0" w14:textId="77777777" w:rsidR="00034E50" w:rsidRDefault="00000000">
      <w:pPr>
        <w:pStyle w:val="Heading2"/>
      </w:pPr>
      <w:r>
        <w:t>2. Roles and Responsibilities</w:t>
      </w:r>
    </w:p>
    <w:p w14:paraId="5B9E359D" w14:textId="77777777" w:rsidR="00034E50" w:rsidRDefault="00000000">
      <w:r>
        <w:t>The Board of Governors retains ultimate fiduciary responsibility. The Investment Committee oversees asset allocation, manager selection, and performance monitoring. External Investment Managers manage assets within assigned mandates. The Custodian safeguards assets and provides reporting.</w:t>
      </w:r>
    </w:p>
    <w:p w14:paraId="5F7BAE9C" w14:textId="77777777" w:rsidR="00034E50" w:rsidRDefault="00000000">
      <w:pPr>
        <w:pStyle w:val="Heading2"/>
      </w:pPr>
      <w:r>
        <w:t>3. Investment Objectives</w:t>
      </w:r>
    </w:p>
    <w:p w14:paraId="26E68A10" w14:textId="77777777" w:rsidR="00034E50" w:rsidRDefault="00000000">
      <w:r>
        <w:t>The Fund seeks to preserve purchasing power in perpetuity. The target return objective is: Spending Rate (4.25%) + Expenses (0.75%) + Inflation (2.50%) = 7.50% annualized return over rolling 10-year periods.</w:t>
      </w:r>
    </w:p>
    <w:p w14:paraId="754B5729" w14:textId="77777777" w:rsidR="00034E50" w:rsidRDefault="00000000">
      <w:pPr>
        <w:pStyle w:val="Heading2"/>
      </w:pPr>
      <w:r>
        <w:t>4. Time Horizon</w:t>
      </w:r>
    </w:p>
    <w:p w14:paraId="665BA772" w14:textId="77777777" w:rsidR="00034E50" w:rsidRDefault="00000000">
      <w:r>
        <w:t>The Fund has a perpetual time horizon with low short-term liquidity requirements. Performance will be evaluated over rolling 5- and 10-year periods.</w:t>
      </w:r>
    </w:p>
    <w:p w14:paraId="65339B4D" w14:textId="77777777" w:rsidR="00034E50" w:rsidRDefault="00000000">
      <w:pPr>
        <w:pStyle w:val="Heading2"/>
      </w:pPr>
      <w:r>
        <w:t>5. Risk Tolerance</w:t>
      </w:r>
    </w:p>
    <w:p w14:paraId="07D9BF7A" w14:textId="77777777" w:rsidR="00034E50" w:rsidRDefault="00000000">
      <w:r>
        <w:t>The Fund maintains a moderate-to-high risk tolerance consistent with its long-term horizon. Short-term volatility is acceptable in pursuit of long-term real growth. Diversification across asset classes mitigates concentration risk.</w:t>
      </w:r>
    </w:p>
    <w:p w14:paraId="47937161" w14:textId="77777777" w:rsidR="00034E50" w:rsidRDefault="00000000">
      <w:pPr>
        <w:pStyle w:val="Heading2"/>
      </w:pPr>
      <w:r>
        <w:t>6. Strategic Asset Allocation</w:t>
      </w:r>
    </w:p>
    <w:tbl>
      <w:tblPr>
        <w:tblW w:w="0" w:type="auto"/>
        <w:jc w:val="center"/>
        <w:tblLook w:val="04A0" w:firstRow="1" w:lastRow="0" w:firstColumn="1" w:lastColumn="0" w:noHBand="0" w:noVBand="1"/>
      </w:tblPr>
      <w:tblGrid>
        <w:gridCol w:w="2880"/>
        <w:gridCol w:w="2880"/>
        <w:gridCol w:w="2880"/>
      </w:tblGrid>
      <w:tr w:rsidR="00034E50" w14:paraId="261C4AA1" w14:textId="77777777">
        <w:trPr>
          <w:jc w:val="center"/>
        </w:trPr>
        <w:tc>
          <w:tcPr>
            <w:tcW w:w="2880" w:type="dxa"/>
          </w:tcPr>
          <w:p w14:paraId="7E7169B4" w14:textId="77777777" w:rsidR="00034E50" w:rsidRDefault="00000000">
            <w:r>
              <w:t>Asset Class</w:t>
            </w:r>
          </w:p>
        </w:tc>
        <w:tc>
          <w:tcPr>
            <w:tcW w:w="2880" w:type="dxa"/>
          </w:tcPr>
          <w:p w14:paraId="5FF12BEE" w14:textId="77777777" w:rsidR="00034E50" w:rsidRDefault="00000000">
            <w:r>
              <w:t>Target</w:t>
            </w:r>
          </w:p>
        </w:tc>
        <w:tc>
          <w:tcPr>
            <w:tcW w:w="2880" w:type="dxa"/>
          </w:tcPr>
          <w:p w14:paraId="422F27F2" w14:textId="77777777" w:rsidR="00034E50" w:rsidRDefault="00000000">
            <w:r>
              <w:t>Policy Range</w:t>
            </w:r>
          </w:p>
        </w:tc>
      </w:tr>
      <w:tr w:rsidR="00034E50" w14:paraId="55066390" w14:textId="77777777">
        <w:trPr>
          <w:jc w:val="center"/>
        </w:trPr>
        <w:tc>
          <w:tcPr>
            <w:tcW w:w="2880" w:type="dxa"/>
          </w:tcPr>
          <w:p w14:paraId="2667C28E" w14:textId="77777777" w:rsidR="00034E50" w:rsidRDefault="00000000">
            <w:r>
              <w:t>Global Equity</w:t>
            </w:r>
          </w:p>
        </w:tc>
        <w:tc>
          <w:tcPr>
            <w:tcW w:w="2880" w:type="dxa"/>
          </w:tcPr>
          <w:p w14:paraId="759F80AC" w14:textId="26153CDD" w:rsidR="00034E50" w:rsidRDefault="00AC5F16">
            <w:r>
              <w:t>3</w:t>
            </w:r>
            <w:r w:rsidR="00000000">
              <w:t>0%</w:t>
            </w:r>
          </w:p>
        </w:tc>
        <w:tc>
          <w:tcPr>
            <w:tcW w:w="2880" w:type="dxa"/>
          </w:tcPr>
          <w:p w14:paraId="12D39582" w14:textId="77777777" w:rsidR="00034E50" w:rsidRDefault="00000000">
            <w:r>
              <w:t>45%–60%</w:t>
            </w:r>
          </w:p>
          <w:p w14:paraId="03184471" w14:textId="77777777" w:rsidR="00AC5F16" w:rsidRDefault="00AC5F16"/>
        </w:tc>
      </w:tr>
      <w:tr w:rsidR="00034E50" w14:paraId="1374A2A1" w14:textId="77777777">
        <w:trPr>
          <w:jc w:val="center"/>
        </w:trPr>
        <w:tc>
          <w:tcPr>
            <w:tcW w:w="2880" w:type="dxa"/>
          </w:tcPr>
          <w:p w14:paraId="71267436" w14:textId="77777777" w:rsidR="00034E50" w:rsidRDefault="00000000">
            <w:r>
              <w:t>Fixed Income</w:t>
            </w:r>
          </w:p>
        </w:tc>
        <w:tc>
          <w:tcPr>
            <w:tcW w:w="2880" w:type="dxa"/>
          </w:tcPr>
          <w:p w14:paraId="6B4537D9" w14:textId="77777777" w:rsidR="00034E50" w:rsidRDefault="00000000">
            <w:r>
              <w:t>20%</w:t>
            </w:r>
          </w:p>
        </w:tc>
        <w:tc>
          <w:tcPr>
            <w:tcW w:w="2880" w:type="dxa"/>
          </w:tcPr>
          <w:p w14:paraId="597C5FD0" w14:textId="77777777" w:rsidR="00034E50" w:rsidRDefault="00000000">
            <w:r>
              <w:t>15%–30%</w:t>
            </w:r>
          </w:p>
        </w:tc>
      </w:tr>
      <w:tr w:rsidR="00034E50" w14:paraId="5DA26ECE" w14:textId="77777777">
        <w:trPr>
          <w:jc w:val="center"/>
        </w:trPr>
        <w:tc>
          <w:tcPr>
            <w:tcW w:w="2880" w:type="dxa"/>
          </w:tcPr>
          <w:p w14:paraId="7C8FBBD3" w14:textId="77777777" w:rsidR="00034E50" w:rsidRDefault="00000000">
            <w:r>
              <w:lastRenderedPageBreak/>
              <w:t>Real Assets (RE &amp; Infra)</w:t>
            </w:r>
          </w:p>
        </w:tc>
        <w:tc>
          <w:tcPr>
            <w:tcW w:w="2880" w:type="dxa"/>
          </w:tcPr>
          <w:p w14:paraId="3125767A" w14:textId="20290F60" w:rsidR="00034E50" w:rsidRDefault="00000000">
            <w:r>
              <w:t>1</w:t>
            </w:r>
            <w:r w:rsidR="00AC5F16">
              <w:t>0</w:t>
            </w:r>
            <w:r>
              <w:t>%</w:t>
            </w:r>
          </w:p>
        </w:tc>
        <w:tc>
          <w:tcPr>
            <w:tcW w:w="2880" w:type="dxa"/>
          </w:tcPr>
          <w:p w14:paraId="053F04A9" w14:textId="77777777" w:rsidR="00034E50" w:rsidRDefault="00000000">
            <w:r>
              <w:t>10%–20%</w:t>
            </w:r>
          </w:p>
        </w:tc>
      </w:tr>
      <w:tr w:rsidR="00034E50" w14:paraId="79A2E56B" w14:textId="77777777">
        <w:trPr>
          <w:jc w:val="center"/>
        </w:trPr>
        <w:tc>
          <w:tcPr>
            <w:tcW w:w="2880" w:type="dxa"/>
          </w:tcPr>
          <w:p w14:paraId="3B81C381" w14:textId="0B03D65E" w:rsidR="00034E50" w:rsidRDefault="00AC5F16">
            <w:r>
              <w:t>Infrastructure</w:t>
            </w:r>
          </w:p>
        </w:tc>
        <w:tc>
          <w:tcPr>
            <w:tcW w:w="2880" w:type="dxa"/>
          </w:tcPr>
          <w:p w14:paraId="7C361090" w14:textId="77777777" w:rsidR="00034E50" w:rsidRDefault="00000000">
            <w:r>
              <w:t>10%</w:t>
            </w:r>
          </w:p>
        </w:tc>
        <w:tc>
          <w:tcPr>
            <w:tcW w:w="2880" w:type="dxa"/>
          </w:tcPr>
          <w:p w14:paraId="4126694F" w14:textId="77777777" w:rsidR="00034E50" w:rsidRDefault="00000000">
            <w:r>
              <w:t>5%–15%</w:t>
            </w:r>
          </w:p>
        </w:tc>
      </w:tr>
      <w:tr w:rsidR="00034E50" w14:paraId="55A46475" w14:textId="77777777">
        <w:trPr>
          <w:jc w:val="center"/>
        </w:trPr>
        <w:tc>
          <w:tcPr>
            <w:tcW w:w="2880" w:type="dxa"/>
          </w:tcPr>
          <w:p w14:paraId="79484562" w14:textId="1E4A9A93" w:rsidR="00034E50" w:rsidRDefault="00AC5F16">
            <w:r>
              <w:t>Emerging Markets</w:t>
            </w:r>
          </w:p>
        </w:tc>
        <w:tc>
          <w:tcPr>
            <w:tcW w:w="2880" w:type="dxa"/>
          </w:tcPr>
          <w:p w14:paraId="649AC90B" w14:textId="77777777" w:rsidR="00034E50" w:rsidRDefault="00000000">
            <w:r>
              <w:t>5%</w:t>
            </w:r>
          </w:p>
        </w:tc>
        <w:tc>
          <w:tcPr>
            <w:tcW w:w="2880" w:type="dxa"/>
          </w:tcPr>
          <w:p w14:paraId="53CC23E7" w14:textId="253659E4" w:rsidR="00AC5F16" w:rsidRDefault="00000000">
            <w:r>
              <w:t>0%–10</w:t>
            </w:r>
            <w:r w:rsidR="00AC5F16">
              <w:t>%</w:t>
            </w:r>
          </w:p>
          <w:p w14:paraId="211FA25C" w14:textId="574E2718" w:rsidR="00AC5F16" w:rsidRDefault="00AC5F16"/>
        </w:tc>
      </w:tr>
      <w:tr w:rsidR="00AC5F16" w14:paraId="4591A807" w14:textId="77777777" w:rsidTr="00AC5F16">
        <w:trPr>
          <w:jc w:val="center"/>
        </w:trPr>
        <w:tc>
          <w:tcPr>
            <w:tcW w:w="2880" w:type="dxa"/>
          </w:tcPr>
          <w:p w14:paraId="497637D2" w14:textId="77777777" w:rsidR="00AC5F16" w:rsidRDefault="00AC5F16" w:rsidP="009C374F">
            <w:r>
              <w:t>Global Equity</w:t>
            </w:r>
          </w:p>
        </w:tc>
        <w:tc>
          <w:tcPr>
            <w:tcW w:w="2880" w:type="dxa"/>
          </w:tcPr>
          <w:p w14:paraId="57483C6B" w14:textId="77777777" w:rsidR="00AC5F16" w:rsidRDefault="00AC5F16" w:rsidP="009C374F">
            <w:r>
              <w:t>30%</w:t>
            </w:r>
          </w:p>
        </w:tc>
        <w:tc>
          <w:tcPr>
            <w:tcW w:w="2880" w:type="dxa"/>
          </w:tcPr>
          <w:p w14:paraId="0942B981" w14:textId="77777777" w:rsidR="00AC5F16" w:rsidRDefault="00AC5F16" w:rsidP="009C374F">
            <w:r>
              <w:t>45%–60%</w:t>
            </w:r>
          </w:p>
          <w:p w14:paraId="5FD33B2A" w14:textId="77777777" w:rsidR="00AC5F16" w:rsidRDefault="00AC5F16" w:rsidP="009C374F"/>
        </w:tc>
      </w:tr>
      <w:tr w:rsidR="00AC5F16" w14:paraId="4986EE22" w14:textId="77777777" w:rsidTr="00AC5F16">
        <w:trPr>
          <w:jc w:val="center"/>
        </w:trPr>
        <w:tc>
          <w:tcPr>
            <w:tcW w:w="2880" w:type="dxa"/>
          </w:tcPr>
          <w:p w14:paraId="7FE7F25A" w14:textId="77777777" w:rsidR="00AC5F16" w:rsidRDefault="00AC5F16" w:rsidP="009C374F">
            <w:r>
              <w:t>Fixed Income</w:t>
            </w:r>
          </w:p>
        </w:tc>
        <w:tc>
          <w:tcPr>
            <w:tcW w:w="2880" w:type="dxa"/>
          </w:tcPr>
          <w:p w14:paraId="0049506C" w14:textId="77777777" w:rsidR="00AC5F16" w:rsidRDefault="00AC5F16" w:rsidP="009C374F">
            <w:r>
              <w:t>20%</w:t>
            </w:r>
          </w:p>
        </w:tc>
        <w:tc>
          <w:tcPr>
            <w:tcW w:w="2880" w:type="dxa"/>
          </w:tcPr>
          <w:p w14:paraId="179EFE1A" w14:textId="77777777" w:rsidR="00AC5F16" w:rsidRDefault="00AC5F16" w:rsidP="009C374F">
            <w:r>
              <w:t>15%–30%</w:t>
            </w:r>
          </w:p>
        </w:tc>
      </w:tr>
      <w:tr w:rsidR="00AC5F16" w14:paraId="1426B6A2" w14:textId="77777777" w:rsidTr="00AC5F16">
        <w:trPr>
          <w:jc w:val="center"/>
        </w:trPr>
        <w:tc>
          <w:tcPr>
            <w:tcW w:w="2880" w:type="dxa"/>
          </w:tcPr>
          <w:p w14:paraId="586A6985" w14:textId="77777777" w:rsidR="00AC5F16" w:rsidRDefault="00AC5F16" w:rsidP="009C374F">
            <w:r>
              <w:t>Real Assets (RE &amp; Infra)</w:t>
            </w:r>
          </w:p>
        </w:tc>
        <w:tc>
          <w:tcPr>
            <w:tcW w:w="2880" w:type="dxa"/>
          </w:tcPr>
          <w:p w14:paraId="055EF733" w14:textId="77777777" w:rsidR="00AC5F16" w:rsidRDefault="00AC5F16" w:rsidP="009C374F">
            <w:r>
              <w:t>10%</w:t>
            </w:r>
          </w:p>
        </w:tc>
        <w:tc>
          <w:tcPr>
            <w:tcW w:w="2880" w:type="dxa"/>
          </w:tcPr>
          <w:p w14:paraId="273E17E0" w14:textId="77777777" w:rsidR="00AC5F16" w:rsidRDefault="00AC5F16" w:rsidP="009C374F">
            <w:r>
              <w:t>10%–20%</w:t>
            </w:r>
          </w:p>
        </w:tc>
      </w:tr>
      <w:tr w:rsidR="00AC5F16" w14:paraId="556D45D9" w14:textId="77777777" w:rsidTr="00AC5F16">
        <w:trPr>
          <w:jc w:val="center"/>
        </w:trPr>
        <w:tc>
          <w:tcPr>
            <w:tcW w:w="2880" w:type="dxa"/>
          </w:tcPr>
          <w:p w14:paraId="2C39188E" w14:textId="77777777" w:rsidR="00AC5F16" w:rsidRDefault="00AC5F16" w:rsidP="009C374F">
            <w:r>
              <w:t>Infrastructure</w:t>
            </w:r>
          </w:p>
        </w:tc>
        <w:tc>
          <w:tcPr>
            <w:tcW w:w="2880" w:type="dxa"/>
          </w:tcPr>
          <w:p w14:paraId="256FBFCD" w14:textId="77777777" w:rsidR="00AC5F16" w:rsidRDefault="00AC5F16" w:rsidP="009C374F">
            <w:r>
              <w:t>10%</w:t>
            </w:r>
          </w:p>
        </w:tc>
        <w:tc>
          <w:tcPr>
            <w:tcW w:w="2880" w:type="dxa"/>
          </w:tcPr>
          <w:p w14:paraId="4B1DE880" w14:textId="77777777" w:rsidR="00AC5F16" w:rsidRDefault="00AC5F16" w:rsidP="009C374F">
            <w:r>
              <w:t>5%–15%</w:t>
            </w:r>
          </w:p>
        </w:tc>
      </w:tr>
      <w:tr w:rsidR="00AC5F16" w14:paraId="54C4A2A5" w14:textId="77777777" w:rsidTr="00AC5F16">
        <w:trPr>
          <w:jc w:val="center"/>
        </w:trPr>
        <w:tc>
          <w:tcPr>
            <w:tcW w:w="2880" w:type="dxa"/>
          </w:tcPr>
          <w:p w14:paraId="5C1D7D62" w14:textId="77777777" w:rsidR="00AC5F16" w:rsidRDefault="00AC5F16" w:rsidP="009C374F">
            <w:r>
              <w:t>Cash</w:t>
            </w:r>
          </w:p>
        </w:tc>
        <w:tc>
          <w:tcPr>
            <w:tcW w:w="2880" w:type="dxa"/>
          </w:tcPr>
          <w:p w14:paraId="725FF37D" w14:textId="77777777" w:rsidR="00AC5F16" w:rsidRDefault="00AC5F16" w:rsidP="009C374F">
            <w:r>
              <w:t>5%</w:t>
            </w:r>
          </w:p>
        </w:tc>
        <w:tc>
          <w:tcPr>
            <w:tcW w:w="2880" w:type="dxa"/>
          </w:tcPr>
          <w:p w14:paraId="660CE8E9" w14:textId="77777777" w:rsidR="00AC5F16" w:rsidRDefault="00AC5F16" w:rsidP="009C374F">
            <w:r>
              <w:t>0%–10%</w:t>
            </w:r>
          </w:p>
          <w:p w14:paraId="18501F12" w14:textId="77777777" w:rsidR="00AC5F16" w:rsidRDefault="00AC5F16" w:rsidP="009C374F"/>
        </w:tc>
      </w:tr>
    </w:tbl>
    <w:p w14:paraId="32E655CC" w14:textId="77777777" w:rsidR="00AC5F16" w:rsidRDefault="00AC5F16">
      <w:pPr>
        <w:pStyle w:val="Heading2"/>
      </w:pPr>
    </w:p>
    <w:p w14:paraId="1EAECFD2" w14:textId="312350FA" w:rsidR="00034E50" w:rsidRDefault="00000000">
      <w:pPr>
        <w:pStyle w:val="Heading2"/>
      </w:pPr>
      <w:r>
        <w:t>7. Rebalancing Guidelines</w:t>
      </w:r>
    </w:p>
    <w:p w14:paraId="336773AC" w14:textId="77777777" w:rsidR="00034E50" w:rsidRDefault="00000000">
      <w:r>
        <w:t>The portfolio will be reviewed quarterly. Asset classes exceeding policy ranges will be rebalanced back within range. Cash flows will be used first before selling securities to minimize transaction costs.</w:t>
      </w:r>
    </w:p>
    <w:p w14:paraId="22CD52CC" w14:textId="77777777" w:rsidR="00034E50" w:rsidRDefault="00000000">
      <w:pPr>
        <w:pStyle w:val="Heading2"/>
      </w:pPr>
      <w:r>
        <w:t>8. Spending Policy</w:t>
      </w:r>
    </w:p>
    <w:p w14:paraId="39EE1043" w14:textId="77777777" w:rsidR="00034E50" w:rsidRDefault="00000000">
      <w:r>
        <w:t>Annual spending shall equal 4.25% of the trailing 48-month average market value. The spending rate may vary between 3.50% and 5.00% with Board approval under exceptional circumstances.</w:t>
      </w:r>
    </w:p>
    <w:p w14:paraId="7CF29DFF" w14:textId="77777777" w:rsidR="00034E50" w:rsidRDefault="00000000">
      <w:pPr>
        <w:pStyle w:val="Heading2"/>
      </w:pPr>
      <w:r>
        <w:t>9. Investment Guidelines</w:t>
      </w:r>
    </w:p>
    <w:p w14:paraId="02A440AB" w14:textId="77777777" w:rsidR="00034E50" w:rsidRDefault="00000000">
      <w:r>
        <w:t>Permitted investments include publicly traded equities, investment-grade bonds, private markets funds, and real assets. Derivatives may be used for hedging but not speculative leverage. ESG integration is required across mandates.</w:t>
      </w:r>
    </w:p>
    <w:p w14:paraId="72518B5A" w14:textId="77777777" w:rsidR="00034E50" w:rsidRDefault="00000000">
      <w:pPr>
        <w:pStyle w:val="Heading2"/>
      </w:pPr>
      <w:r>
        <w:t>10. Conflict of Interest</w:t>
      </w:r>
    </w:p>
    <w:p w14:paraId="3D5BF47C" w14:textId="77777777" w:rsidR="00034E50" w:rsidRDefault="00000000">
      <w:r>
        <w:t>Committee members must disclose all real or perceived conflicts. Members with conflicts shall abstain from voting on related matters. All fiduciaries must act prudently and solely in the best interest of the University.</w:t>
      </w:r>
    </w:p>
    <w:sectPr w:rsidR="00034E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4249111">
    <w:abstractNumId w:val="8"/>
  </w:num>
  <w:num w:numId="2" w16cid:durableId="1315573993">
    <w:abstractNumId w:val="6"/>
  </w:num>
  <w:num w:numId="3" w16cid:durableId="30765539">
    <w:abstractNumId w:val="5"/>
  </w:num>
  <w:num w:numId="4" w16cid:durableId="1299342075">
    <w:abstractNumId w:val="4"/>
  </w:num>
  <w:num w:numId="5" w16cid:durableId="1879200510">
    <w:abstractNumId w:val="7"/>
  </w:num>
  <w:num w:numId="6" w16cid:durableId="176193333">
    <w:abstractNumId w:val="3"/>
  </w:num>
  <w:num w:numId="7" w16cid:durableId="454950957">
    <w:abstractNumId w:val="2"/>
  </w:num>
  <w:num w:numId="8" w16cid:durableId="312029862">
    <w:abstractNumId w:val="1"/>
  </w:num>
  <w:num w:numId="9" w16cid:durableId="190710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E50"/>
    <w:rsid w:val="0006063C"/>
    <w:rsid w:val="0015074B"/>
    <w:rsid w:val="0029639D"/>
    <w:rsid w:val="00326F90"/>
    <w:rsid w:val="004C271C"/>
    <w:rsid w:val="00AA1D8D"/>
    <w:rsid w:val="00AC5F16"/>
    <w:rsid w:val="00AF4F5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B13FD"/>
  <w14:defaultImageDpi w14:val="300"/>
  <w15:docId w15:val="{8E3A200C-071D-5D4E-AF76-7327B4B3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Essa Kazmi</cp:lastModifiedBy>
  <cp:revision>2</cp:revision>
  <dcterms:created xsi:type="dcterms:W3CDTF">2013-12-23T23:15:00Z</dcterms:created>
  <dcterms:modified xsi:type="dcterms:W3CDTF">2026-02-17T21:35:00Z</dcterms:modified>
  <cp:category/>
</cp:coreProperties>
</file>