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IsolatedFootingRFT — Feature Spec</w:t>
      </w:r>
    </w:p>
    <w:p>
      <w:pPr>
        <w:spacing w:after="400"/>
      </w:pPr>
      <w:r>
        <w:rPr>
          <w:i/>
          <w:iCs/>
          <w:color w:val="555555"/>
        </w:rPr>
        <w:t xml:space="preserve">v1 — Resolved. New extension in </w:t>
      </w:r>
      <w:r>
        <w:rPr>
          <w:i/>
          <w:iCs/>
          <w:color w:val="555555"/>
          <w:u w:val="single"/>
        </w:rPr>
        <w:t xml:space="preserve">RFT-Tools</w:t>
      </w:r>
      <w:r>
        <w:rPr>
          <w:i/>
          <w:iCs/>
          <w:color w:val="555555"/>
        </w:rPr>
        <w:t xml:space="preserve"> (github.com/EssamKader/RFT-Tools), alongside ColumnRFT.extension and SimpleBeamRFT.extension. Converted from manual sketches, shown alongside each section.</w:t>
      </w:r>
    </w:p>
    <w:p>
      <w:pPr>
        <w:pStyle w:val="Heading1"/>
        <w:spacing w:after="200" w:before="400"/>
      </w:pPr>
      <w:r>
        <w:t xml:space="preserve">1. Purpose</w:t>
      </w:r>
    </w:p>
    <w:p>
      <w:pPr>
        <w:spacing w:after="150"/>
      </w:pPr>
      <w:r>
        <w:t xml:space="preserve">Automated isolated (pad) footing rebar detailing: bottom/top mesh, column dowels, and dowel stirrups — same tracer-bullet-verified approach as the existing tools.</w:t>
      </w:r>
    </w:p>
    <w:p>
      <w:pPr>
        <w:pStyle w:val="Heading1"/>
        <w:spacing w:after="200" w:before="400"/>
      </w:pPr>
      <w:r>
        <w:t xml:space="preserve">2. Reused Components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Dowel stirrup/tie shape generation</w:t>
      </w:r>
      <w:r>
        <w:t xml:space="preserve"> — reuse the tie logic already built for ColumnRFT. Do not rebuild from scratch.</w:t>
      </w:r>
    </w:p>
    <w:p>
      <w:pPr>
        <w:pStyle w:val="Heading1"/>
        <w:spacing w:after="200" w:before="400"/>
      </w:pPr>
      <w:r>
        <w:t xml:space="preserve">3. Naming &amp; Geometry Conventions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DEBF7" w:val="clear"/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dxa" w:w="6500"/>
            <w:shd w:fill="DDEBF7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a, b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Footing plan dimensions (a along X, b along Y)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Cw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Column width in the a-direction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X, 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Clear offset, column face → footing edge, in a- and b-direction respectively (a = 2·X + Cw)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cover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Footing cover (top/bottom, per face)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a − 2·cover — straight length of an a-direction bottom bar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footing_thickness − 2·cover — vertical hook leg of the first (lowest) mat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N2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footing_thickness − bottom_cover − ⌀(first mat bar) − top_cover — hook leg of the mat stacked above the first one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Required development/lap length (user input, or code-table lookup)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Farsh (فرش)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Bottom mat — placed in the direction with the larger number of bars / closer spacing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Ghata (غطاء)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Mat placed above Farsh, running perpendicular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mesh_bar_x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Bottom-mesh bars spanning the a-direction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mesh_bar_y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Bottom-mesh bars spanning the b-direction, stacked above mesh_bar_x</w:t>
            </w:r>
          </w:p>
        </w:tc>
      </w:tr>
    </w:tbl>
    <w:p>
      <w:pPr>
        <w:spacing w:after="200"/>
      </w:pPr>
    </w:p>
    <w:p>
      <w:pPr>
        <w:shd w:fill="E9F5E9" w:val="clear"/>
        <w:spacing w:after="200" w:before="100"/>
      </w:pPr>
      <w:r>
        <w:rPr>
          <w:b/>
          <w:bCs/>
          <w:color w:val="2E7D32"/>
        </w:rPr>
        <w:t xml:space="preserve">Confirmed: </w:t>
      </w:r>
      <w:r>
        <w:t xml:space="preserve">"if X &gt; Y ⇒ Farsh in X direction" compares the column-face offsets X (a-direction) vs. Y (b-direction) — whichever offset is larger, that direction's bars become the bottom mat (Farsh).</w:t>
      </w:r>
    </w:p>
    <w:p>
      <w:pPr>
        <w:spacing w:after="200" w:before="200"/>
        <w:jc w:val="center"/>
      </w:pPr>
      <w:r>
        <w:drawing>
          <wp:inline distT="0" distB="0" distL="0" distR="0">
            <wp:extent cx="36195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Sketch — isolated footing plan, X/Y offsets, and R1/R2 (mesh_bar_x/mesh_bar_y) bar-length formulas</w:t>
      </w:r>
    </w:p>
    <w:p>
      <w:pPr>
        <w:pStyle w:val="Heading1"/>
        <w:spacing w:after="200" w:before="400"/>
      </w:pPr>
      <w:r>
        <w:t xml:space="preserve">4. Bottom Mesh — Bar Length Formulas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mesh_bar_x = Z  + 2·N</w:t>
      </w:r>
      <w:r>
        <w:rPr>
          <w:rFonts w:ascii="Consolas" w:cs="Consolas" w:eastAsia="Consolas" w:hAnsi="Consolas"/>
          <w:sz w:val="20"/>
          <w:szCs w:val="20"/>
        </w:rPr>
        <w:br/>
        <w:t xml:space="preserve">mesh_bar_y = Z2 + 2·N2</w:t>
      </w:r>
      <w:r>
        <w:rPr>
          <w:rFonts w:ascii="Consolas" w:cs="Consolas" w:eastAsia="Consolas" w:hAnsi="Consolas"/>
          <w:sz w:val="20"/>
          <w:szCs w:val="20"/>
        </w:rPr>
        <w:br/>
        <w:t xml:space="preserve">Z  = a − 2·cover</w:t>
      </w:r>
      <w:r>
        <w:rPr>
          <w:rFonts w:ascii="Consolas" w:cs="Consolas" w:eastAsia="Consolas" w:hAnsi="Consolas"/>
          <w:sz w:val="20"/>
          <w:szCs w:val="20"/>
        </w:rPr>
        <w:br/>
        <w:t xml:space="preserve">Z2 = b − 2·cover</w:t>
      </w:r>
      <w:r>
        <w:rPr>
          <w:rFonts w:ascii="Consolas" w:cs="Consolas" w:eastAsia="Consolas" w:hAnsi="Consolas"/>
          <w:sz w:val="20"/>
          <w:szCs w:val="20"/>
        </w:rPr>
        <w:br/>
        <w:t xml:space="preserve">N  = footing_thickness − 2·cover</w:t>
      </w:r>
      <w:r>
        <w:rPr>
          <w:rFonts w:ascii="Consolas" w:cs="Consolas" w:eastAsia="Consolas" w:hAnsi="Consolas"/>
          <w:sz w:val="20"/>
          <w:szCs w:val="20"/>
        </w:rPr>
        <w:br/>
        <w:t xml:space="preserve">N2 = footing_thickness − bottom_cover − ⌀mesh_bar_x − top_cover</w:t>
      </w:r>
    </w:p>
    <w:p>
      <w:pPr>
        <w:spacing w:after="150"/>
      </w:pPr>
      <w:r>
        <w:t xml:space="preserve">Both mesh_bar_x and mesh_bar_y are L-shaped at each end by default (forming a U in elevation), unless the L-shape-alternating option (Section 6) is chosen.</w:t>
      </w:r>
    </w:p>
    <w:p>
      <w:pPr>
        <w:pStyle w:val="Heading1"/>
        <w:spacing w:after="200" w:before="400"/>
      </w:pPr>
      <w:r>
        <w:t xml:space="preserve">5. Hook / Development-Length Decision (per bar end)</w:t>
      </w:r>
    </w:p>
    <w:p>
      <w:pPr>
        <w:spacing w:after="150"/>
      </w:pPr>
      <w:r>
        <w:t xml:space="preserve">At each bar end, compare the straight length available outside the column footprint against LD: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If LD &gt; X → </w:t>
      </w:r>
      <w:r>
        <w:t xml:space="preserve">bend the bar up (hook) to add embedment via the vertical leg; total anchorage = straight X + hook.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If X &gt; LD → </w:t>
      </w:r>
      <w:r>
        <w:t xml:space="preserve">switch that bar from U-shape to L-shape — hook only the end(s) where LD &gt; offset still applies; the end where offset &gt; LD stays straight (no hook needed there).</w:t>
      </w:r>
    </w:p>
    <w:p>
      <w:pPr>
        <w:shd w:fill="E9F5E9" w:val="clear"/>
        <w:spacing w:after="200" w:before="100"/>
      </w:pPr>
      <w:r>
        <w:rPr>
          <w:b/>
          <w:bCs/>
          <w:color w:val="2E7D32"/>
        </w:rPr>
        <w:t xml:space="preserve">Confirmed: </w:t>
      </w:r>
      <w:r>
        <w:t xml:space="preserve">the b-direction offset Y follows the identical rule (LD vs. Y) — Image below only sketches the a-direction case, but the same comparison applies per-direction, per-end.</w:t>
      </w:r>
    </w:p>
    <w:p>
      <w:pPr>
        <w:spacing w:after="200" w:before="200"/>
        <w:jc w:val="center"/>
      </w:pPr>
      <w:r>
        <w:drawing>
          <wp:inline distT="0" distB="0" distL="0" distR="0">
            <wp:extent cx="34290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Sketch — development-length cases for U/L-shape bottom bars</w:t>
      </w:r>
    </w:p>
    <w:p>
      <w:pPr>
        <w:pStyle w:val="Heading1"/>
        <w:spacing w:after="200" w:before="400"/>
      </w:pPr>
      <w:r>
        <w:t xml:space="preserve">6. U-Shape vs. L-Shape-Alternating — User Input, Set Separately for Bottom and Top</w:t>
      </w:r>
    </w:p>
    <w:p>
      <w:pPr>
        <w:spacing w:after="150"/>
      </w:pPr>
      <w:r>
        <w:t xml:space="preserve">This is a direct user input, not a calculated result — and it's set independently for the bottom mat and the top mat (a footing could, e.g., run U-shape on the bottom and L-shape-alternating on top, or any other combination):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U-Shape</w:t>
      </w:r>
      <w:r>
        <w:t xml:space="preserve"> — every bar hooked at both ends. Safe default, more steel.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L-Shape Alternative</w:t>
      </w:r>
      <w:r>
        <w:t xml:space="preserve"> — each bar is L-shaped (one hook), and consecutive bars alternate which end is hooked, so the mat is still anchored at both edges overall, with less steel than full U-shape.</w:t>
      </w:r>
    </w:p>
    <w:p>
      <w:pPr>
        <w:spacing w:after="150"/>
      </w:pPr>
      <w:r>
        <w:t xml:space="preserve">Whichever the user picks for a given mat overrides Section 5's per-end LD comparison for that mat — Section 5 only applies if/when the tool needs to decide the shape itself, which this input makes unnecessary.</w:t>
      </w:r>
    </w:p>
    <w:p>
      <w:pPr>
        <w:pStyle w:val="Heading1"/>
        <w:spacing w:after="200" w:before="400"/>
      </w:pPr>
      <w:r>
        <w:t xml:space="preserve">7. Top Reinforcement Option</w:t>
      </w:r>
    </w:p>
    <w:p>
      <w:pPr>
        <w:spacing w:after="150"/>
      </w:pPr>
      <w:r>
        <w:t xml:space="preserve">Do not infer whether a footing needs top steel from its thickness. Expose a user choice instead: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BTM only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TOP + BTM</w:t>
      </w:r>
    </w:p>
    <w:p>
      <w:pPr>
        <w:spacing w:after="150"/>
      </w:pPr>
      <w:r>
        <w:t xml:space="preserve">If TOP + BTM is chosen, the top mat uses the same U-shape / L-shape choice (Section 6). The L-shape variant closes top+bottom L-bars into a loop at the edge (per the sketch below), as an alternative to full U-shape bars top and bottom.</w:t>
      </w:r>
    </w:p>
    <w:p>
      <w:pPr>
        <w:shd w:fill="E9F5E9" w:val="clear"/>
        <w:spacing w:after="200" w:before="100"/>
      </w:pPr>
      <w:r>
        <w:rPr>
          <w:b/>
          <w:bCs/>
          <w:color w:val="2E7D32"/>
        </w:rPr>
        <w:t xml:space="preserve">Confirmed: </w:t>
      </w:r>
      <w:r>
        <w:t xml:space="preserve">independent of Section 6 — the BTM-only/TOP+BTM toggle and the U-shape/L-shape toggle are set separately, not coupled.</w:t>
      </w:r>
    </w:p>
    <w:p>
      <w:pPr>
        <w:spacing w:after="200" w:before="200"/>
        <w:jc w:val="center"/>
      </w:pPr>
      <w:r>
        <w:drawing>
          <wp:inline distT="0" distB="0" distL="0" distR="0">
            <wp:extent cx="361950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Sketch — U-shape vs. L-shape (top + bottom, closed like a rectangle) reinforcement options</w:t>
      </w:r>
    </w:p>
    <w:p>
      <w:pPr>
        <w:pStyle w:val="Heading1"/>
        <w:spacing w:after="200" w:before="400"/>
      </w:pPr>
      <w:r>
        <w:t xml:space="preserve">8. Column Dowels (Vertical Starter Bars)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Ls</w:t>
      </w:r>
      <w:r>
        <w:t xml:space="preserve"> = lap/splice length — user input.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dowel_bar</w:t>
      </w:r>
      <w:r>
        <w:t xml:space="preserve"> = column vertical starter bar. Tied by dowel_tie (Section 9) and hooked horizontally at the bottom, resting on top of the bottom mesh.</w:t>
      </w:r>
    </w:p>
    <w:p>
      <w:pPr>
        <w:spacing w:after="150"/>
      </w:pPr>
      <w:r>
        <w:t xml:space="preserve">Embedment inside the footing = a_dowel + b_dowel: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a_dowel = footing_thickness − bottom_cover − ⌀mesh_bar_x − ⌀mesh_bar_y</w:t>
      </w:r>
      <w:r>
        <w:rPr>
          <w:rFonts w:ascii="Consolas" w:cs="Consolas" w:eastAsia="Consolas" w:hAnsi="Consolas"/>
          <w:sz w:val="20"/>
          <w:szCs w:val="20"/>
        </w:rPr>
        <w:br/>
        <w:t xml:space="preserve">b_dowel = 200 mm (default)</w:t>
      </w:r>
    </w:p>
    <w:p>
      <w:pPr>
        <w:spacing w:after="150"/>
      </w:pPr>
      <w:r>
        <w:t xml:space="preserve">LD (dowel development length) = user input, e.g. 55·db or 60·db (db = dowel_bar diameter). Compare LD to (a_dowel + b_dowel):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LD ≤ a_dowel + b_dowel → keep a_dowel and default b_dowel = 200mm.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LD &gt; a_dowel + b_dowel → increase the hook: b_dowel = LD − a_dowel.</w:t>
      </w:r>
    </w:p>
    <w:p>
      <w:pPr>
        <w:spacing w:after="200" w:before="200"/>
        <w:jc w:val="center"/>
      </w:pPr>
      <w:r>
        <w:drawing>
          <wp:inline distT="0" distB="0" distL="0" distR="0">
            <wp:extent cx="3524250" cy="479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Sketch — column dowel embedment, a_dowel/b_dowel comparison against LD</w:t>
      </w:r>
    </w:p>
    <w:p>
      <w:pPr>
        <w:pStyle w:val="Heading1"/>
        <w:spacing w:after="200" w:before="400"/>
      </w:pPr>
      <w:r>
        <w:t xml:space="preserve">9. Dowel Stirrups (Ties)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dowel_tie</w:t>
      </w:r>
      <w:r>
        <w:t xml:space="preserve"> = the stirrup tying the dowel_bars together.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Reuse ColumnRFT's tie/stirrup geometry logic for dowel_tie.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Starter (first) dowel_tie: 50 mm from the bottom of the footing.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End (last) dowel_tie: 50 mm from Top of Footing (T.O.F).</w:t>
      </w:r>
    </w:p>
    <w:p>
      <w:pPr>
        <w:shd w:fill="E9F5E9" w:val="clear"/>
        <w:spacing w:after="200" w:before="100"/>
      </w:pPr>
      <w:r>
        <w:rPr>
          <w:b/>
          <w:bCs/>
          <w:color w:val="2E7D32"/>
        </w:rPr>
        <w:t xml:space="preserve">Confirmed: </w:t>
      </w:r>
      <w:r>
        <w:t xml:space="preserve">no default — tie diameter and spacing are both user inputs (matches the wall-automation/column-tool pattern of not hardcoding rebar sizes).</w:t>
      </w:r>
    </w:p>
    <w:p>
      <w:pPr>
        <w:spacing w:after="200" w:before="200"/>
        <w:jc w:val="center"/>
      </w:pPr>
      <w:r>
        <w:drawing>
          <wp:inline distT="0" distB="0" distL="0" distR="0">
            <wp:extent cx="34290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Sketch — dowel stirrup placement (starter/end offsets) and tie section, reused from ColumnRFT</w:t>
      </w:r>
    </w:p>
    <w:p>
      <w:pPr>
        <w:pStyle w:val="Heading1"/>
        <w:spacing w:after="200" w:before="400"/>
      </w:pPr>
      <w:r>
        <w:t xml:space="preserve">10. Suggested Implementation Order (tracer-bullet style)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Tracer bullet: place one isolated footing + column dowels against a live Revit host over MCP; verify rebar-on-footing-host API behavior.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Bottom mesh, straight case only (no hooks), single footing.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hook/development-length logic (Section 5), U-shape default.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L-shape-alternating option (Section 6).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TOP + BTM option (Section 7).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Column dowels + embedment logic (Section 8).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Wire in ColumnRFT's stirrup/tie logic for dowel stirrups (Section 9).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Multi-footing / batch support.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fb37dbe999be6d3879369da0dd5699bb4cc113.jpg"/><Relationship Id="rId8" Type="http://schemas.openxmlformats.org/officeDocument/2006/relationships/image" Target="media/4f392f3e83d405c47e550e4a196f1324a8634967.jpg"/><Relationship Id="rId9" Type="http://schemas.openxmlformats.org/officeDocument/2006/relationships/image" Target="media/a8d5c2c5582f9e41a4c72e955e6fe46fc7ab371a.jpg"/><Relationship Id="rId10" Type="http://schemas.openxmlformats.org/officeDocument/2006/relationships/image" Target="media/14f8f7c0ad60a52444bebdb57902209eed1327a2.jpg"/><Relationship Id="rId11" Type="http://schemas.openxmlformats.org/officeDocument/2006/relationships/image" Target="media/dc3603f616dd5c12474d76d9e63768cd02588b1e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2026-09-17T14:54:19.111Z</dcterms:created>
  <dcterms:modified xsi:type="dcterms:W3CDTF">2026-09-17T14:54:19.125Z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