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Context ��� Column RFT Tool</w:t>
      </w:r>
    </w:p>
    <w:bookmarkStart w:id="27" w:name="project-context-column-rft-tool"/>
    <w:p>
      <w:pPr>
        <w:pStyle w:val="Heading1"/>
      </w:pPr>
      <w:r>
        <w:t xml:space="preserve">Project Context — Column RFT Tool</w:t>
      </w:r>
    </w:p>
    <w:p>
      <w:pPr>
        <w:pStyle w:val="FirstParagraph"/>
      </w:pPr>
      <w:r>
        <w:t xml:space="preserve">Companion project to SimpleBeam-RFT-Tool, in the same monorepo, sharing</w:t>
      </w:r>
      <w:r>
        <w:t xml:space="preserve"> </w:t>
      </w:r>
      <w:r>
        <w:rPr>
          <w:rStyle w:val="VerbatimChar"/>
        </w:rPr>
        <w:t xml:space="preserve">RFT.lib</w:t>
      </w:r>
      <w:r>
        <w:t xml:space="preserve">. Read this before writing any code.</w:t>
      </w:r>
    </w:p>
    <w:bookmarkStart w:id="22" w:name="X8c20a2968507ff6f0e8d88465745020f47727d9"/>
    <w:p>
      <w:pPr>
        <w:pStyle w:val="Heading2"/>
      </w:pPr>
      <w:r>
        <w:t xml:space="preserve">Standing rule: the spec is the source of truth — the CADS manual is NOT</w:t>
      </w:r>
    </w:p>
    <w:p>
      <w:pPr>
        <w:pStyle w:val="FirstParagraph"/>
      </w:pPr>
      <w:r>
        <w:t xml:space="preserve">All detailing logic (confinement length/spacing, first-tie offset,</w:t>
      </w:r>
      <w:r>
        <w:t xml:space="preserve"> </w:t>
      </w:r>
      <w:r>
        <w:t xml:space="preserve">middle-zone spacing, horizontal restraint tiers, inner-tie topology, hook</w:t>
      </w:r>
      <w:r>
        <w:t xml:space="preserve"> </w:t>
      </w:r>
      <w:r>
        <w:t xml:space="preserve">alternation, splice geometry) is governed by</w:t>
      </w:r>
      <w:r>
        <w:t xml:space="preserve"> </w:t>
      </w:r>
      <w:hyperlink r:id="rId20">
        <w:r>
          <w:rPr>
            <w:rStyle w:val="VerbatimChar"/>
          </w:rPr>
          <w:t xml:space="preserve">column-rft-detailing-spec.md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Do not treat the attached CADS Rebar Extensions manual as a source of</w:t>
      </w:r>
      <w:r>
        <w:rPr>
          <w:bCs/>
          <w:b/>
        </w:rPr>
        <w:t xml:space="preserve"> </w:t>
      </w:r>
      <w:r>
        <w:rPr>
          <w:bCs/>
          <w:b/>
        </w:rPr>
        <w:t xml:space="preserve">detailing rules.</w:t>
      </w:r>
      <w:r>
        <w:t xml:space="preserve"> </w:t>
      </w:r>
      <w:r>
        <w:t xml:space="preserve">It is provided for exactly ONE purpose: to explain the</w:t>
      </w:r>
      <w:r>
        <w:t xml:space="preserve"> </w:t>
      </w:r>
      <w:r>
        <w:t xml:space="preserve">subset-based tie convention referenced in spec §6.2 (an initial bar index</w:t>
      </w:r>
      <w:r>
        <w:t xml:space="preserve"> </w:t>
      </w:r>
      <w:r>
        <w:t xml:space="preserve">+ a count of tied bars, generating closed rectangular loops) — a MODELING</w:t>
      </w:r>
      <w:r>
        <w:t xml:space="preserve"> </w:t>
      </w:r>
      <w:r>
        <w:t xml:space="preserve">CONVENTION, not a code requirement. No numeric limit, spacing value, or</w:t>
      </w:r>
      <w:r>
        <w:t xml:space="preserve"> </w:t>
      </w:r>
      <w:r>
        <w:t xml:space="preserve">detailing rule should ever be sourced from the CADS manual. If the CADS</w:t>
      </w:r>
      <w:r>
        <w:t xml:space="preserve"> </w:t>
      </w:r>
      <w:r>
        <w:t xml:space="preserve">manual and the spec ever appear to disagree on anything beyond that one</w:t>
      </w:r>
      <w:r>
        <w:t xml:space="preserve"> </w:t>
      </w:r>
      <w:r>
        <w:t xml:space="preserve">convention, the spec wins, full stop, and the discrepancy is a Grill</w:t>
      </w:r>
      <w:r>
        <w:t xml:space="preserve"> </w:t>
      </w:r>
      <w:r>
        <w:t xml:space="preserve">ticket, not a silent pick.</w:t>
      </w:r>
    </w:p>
    <w:p>
      <w:pPr>
        <w:numPr>
          <w:ilvl w:val="0"/>
          <w:numId w:val="1001"/>
        </w:numPr>
        <w:pStyle w:val="Compact"/>
      </w:pPr>
      <w:r>
        <w:t xml:space="preserve">Every rule implemented in code must trace back to a numbered section of</w:t>
      </w:r>
      <w:r>
        <w:t xml:space="preserve"> </w:t>
      </w:r>
      <w:r>
        <w:rPr>
          <w:rStyle w:val="VerbatimChar"/>
        </w:rPr>
        <w:t xml:space="preserve">column-rft-detailing-spec.md</w:t>
      </w:r>
      <w:r>
        <w:t xml:space="preserve"> </w:t>
      </w:r>
      <w:r>
        <w:t xml:space="preserve">(e.g. </w:t>
      </w:r>
      <w:r>
        <w:t xml:space="preserve">“</w:t>
      </w:r>
      <w:r>
        <w:t xml:space="preserve">per §4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per §6.1</w:t>
      </w:r>
      <w:r>
        <w:t xml:space="preserve">”</w:t>
      </w:r>
      <w:r>
        <w:t xml:space="preserve">). Do not invent</w:t>
      </w:r>
      <w:r>
        <w:t xml:space="preserve"> </w:t>
      </w:r>
      <w:r>
        <w:t xml:space="preserve">detailing rules that aren’t in the spec.</w:t>
      </w:r>
    </w:p>
    <w:p>
      <w:pPr>
        <w:numPr>
          <w:ilvl w:val="0"/>
          <w:numId w:val="1001"/>
        </w:numPr>
        <w:pStyle w:val="Compact"/>
      </w:pPr>
      <w:r>
        <w:t xml:space="preserve">§12’s citations are chapter/figure-level (ECP 203 Chapter 8; Egyptian</w:t>
      </w:r>
      <w:r>
        <w:t xml:space="preserve"> </w:t>
      </w:r>
      <w:r>
        <w:t xml:space="preserve">Detailing Guide 2001, Figure 13-3), not numbered sub-clauses. Refining</w:t>
      </w:r>
      <w:r>
        <w:t xml:space="preserve"> </w:t>
      </w:r>
      <w:r>
        <w:t xml:space="preserve">these to exact sub-clause numbers is a welcome improvement at any point,</w:t>
      </w:r>
      <w:r>
        <w:t xml:space="preserve"> </w:t>
      </w:r>
      <w:r>
        <w:t xml:space="preserve">but is not a blocker — do not hold up implementation waiting for it.</w:t>
      </w:r>
    </w:p>
    <w:bookmarkStart w:id="21" w:name="spec-open-items-status"/>
    <w:p>
      <w:pPr>
        <w:pStyle w:val="Heading3"/>
      </w:pPr>
      <w:r>
        <w:t xml:space="preserve">Spec open items — status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§6.2 tie topology (auto-derive vs. template selection)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DEFERRED</w:t>
      </w:r>
      <w:r>
        <w:rPr>
          <w:bCs/>
          <w:b/>
        </w:rPr>
        <w:t xml:space="preserve"> </w:t>
      </w:r>
      <w:r>
        <w:rPr>
          <w:bCs/>
          <w:b/>
        </w:rPr>
        <w:t xml:space="preserve">BY DECISION</w:t>
      </w:r>
      <w:r>
        <w:t xml:space="preserve">, not an oversight. Do not implement either approach</w:t>
      </w:r>
      <w:r>
        <w:t xml:space="preserve"> </w:t>
      </w:r>
      <w:r>
        <w:t xml:space="preserve">without raising it as a ticket first; the spec explicitly defers this</w:t>
      </w:r>
      <w:r>
        <w:t xml:space="preserve"> </w:t>
      </w:r>
      <w:r>
        <w:t xml:space="preserve">until after the tracer bullet (§11) proves the underlying API</w:t>
      </w:r>
      <w:r>
        <w:t xml:space="preserve"> </w:t>
      </w:r>
      <w:r>
        <w:t xml:space="preserve">mechanics.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§12 citation granularity</w:t>
      </w:r>
      <w:r>
        <w:t xml:space="preserve"> </w:t>
      </w:r>
      <w:r>
        <w:t xml:space="preserve">— open, non-blocking. Sub-clause numbers</w:t>
      </w:r>
      <w:r>
        <w:t xml:space="preserve"> </w:t>
      </w:r>
      <w:r>
        <w:t xml:space="preserve">for the ECP 203 / Egyptian Detailing Guide references may be added</w:t>
      </w:r>
      <w:r>
        <w:t xml:space="preserve"> </w:t>
      </w:r>
      <w:r>
        <w:t xml:space="preserve">later without a spec amendment cycle.</w:t>
      </w:r>
    </w:p>
    <w:bookmarkEnd w:id="21"/>
    <w:bookmarkEnd w:id="22"/>
    <w:bookmarkStart w:id="23" w:name="Xc553d1eb705feb589904d46c6574a47c5d9004f"/>
    <w:p>
      <w:pPr>
        <w:pStyle w:val="Heading2"/>
      </w:pPr>
      <w:r>
        <w:t xml:space="preserve">Standing rule: reuse from SimpleBeam-RFT-Tool is earned, not assumed</w:t>
      </w:r>
    </w:p>
    <w:p>
      <w:pPr>
        <w:pStyle w:val="FirstParagraph"/>
      </w:pPr>
      <w:r>
        <w:rPr>
          <w:rStyle w:val="VerbatimChar"/>
        </w:rPr>
        <w:t xml:space="preserve">RFT.lib</w:t>
      </w:r>
      <w:r>
        <w:t xml:space="preserve"> </w:t>
      </w:r>
      <w:r>
        <w:t xml:space="preserve">is shared. That does NOT mean this tool imports whatever it finds</w:t>
      </w:r>
      <w:r>
        <w:t xml:space="preserve"> </w:t>
      </w:r>
      <w:r>
        <w:t xml:space="preserve">convenient. Per spec §2, §6, and §10: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rft.core.column_layout</w:t>
      </w:r>
      <w:r>
        <w:rPr>
          <w:bCs/>
          <w:b/>
        </w:rPr>
        <w:t xml:space="preserve"> </w:t>
      </w:r>
      <w:r>
        <w:rPr>
          <w:bCs/>
          <w:b/>
        </w:rPr>
        <w:t xml:space="preserve">is a NEW module.</w:t>
      </w:r>
      <w:r>
        <w:t xml:space="preserve"> </w:t>
      </w:r>
      <w:r>
        <w:t xml:space="preserve">Column bars are modeled as</w:t>
      </w:r>
      <w:r>
        <w:t xml:space="preserve"> </w:t>
      </w:r>
      <w:r>
        <w:t xml:space="preserve">one perimeter layout (spec §2), not the beam’s independent-face model.</w:t>
      </w:r>
      <w:r>
        <w:t xml:space="preserve"> </w:t>
      </w:r>
      <w:r>
        <w:t xml:space="preserve">Do not attempt to reuse</w:t>
      </w:r>
      <w:r>
        <w:t xml:space="preserve"> </w:t>
      </w:r>
      <w:r>
        <w:rPr>
          <w:rStyle w:val="VerbatimChar"/>
        </w:rPr>
        <w:t xml:space="preserve">rft.core.layout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FacePlan</w:t>
      </w:r>
      <w:r>
        <w:t xml:space="preserve">/</w:t>
      </w:r>
      <w:r>
        <w:rPr>
          <w:rStyle w:val="VerbatimChar"/>
        </w:rPr>
        <w:t xml:space="preserve">LayerPlan</w:t>
      </w:r>
      <w:r>
        <w:t xml:space="preserve"> </w:t>
      </w:r>
      <w:r>
        <w:t xml:space="preserve">functions by adapting their arguments — re-derive from the perimeter</w:t>
      </w:r>
      <w:r>
        <w:t xml:space="preserve"> </w:t>
      </w:r>
      <w:r>
        <w:t xml:space="preserve">model instead.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rft.core.anchorage</w:t>
      </w:r>
      <w:r>
        <w:rPr>
          <w:bCs/>
          <w:b/>
        </w:rPr>
        <w:t xml:space="preserve"> </w:t>
      </w:r>
      <w:r>
        <w:rPr>
          <w:bCs/>
          <w:b/>
        </w:rPr>
        <w:t xml:space="preserve">is explicitly NOT reused</w:t>
      </w:r>
      <w:r>
        <w:t xml:space="preserve"> </w:t>
      </w:r>
      <w:r>
        <w:t xml:space="preserve">(spec §10). Column bar</w:t>
      </w:r>
      <w:r>
        <w:t xml:space="preserve"> </w:t>
      </w:r>
      <w:r>
        <w:t xml:space="preserve">ends are governed entirely by the floor-to-floor splice override (spec</w:t>
      </w:r>
      <w:r>
        <w:t xml:space="preserve"> </w:t>
      </w:r>
      <w:r>
        <w:t xml:space="preserve">§9). Do not import or call into</w:t>
      </w:r>
      <w:r>
        <w:t xml:space="preserve"> </w:t>
      </w:r>
      <w:r>
        <w:rPr>
          <w:rStyle w:val="VerbatimChar"/>
        </w:rPr>
        <w:t xml:space="preserve">anchorage.py</w:t>
      </w:r>
      <w:r>
        <w:t xml:space="preserve"> </w:t>
      </w:r>
      <w:r>
        <w:t xml:space="preserve">for any reason without</w:t>
      </w:r>
      <w:r>
        <w:t xml:space="preserve"> </w:t>
      </w:r>
      <w:r>
        <w:t xml:space="preserve">raising it as a ticket first.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rft.core.stirrups</w:t>
      </w:r>
      <w:r>
        <w:rPr>
          <w:bCs/>
          <w:b/>
        </w:rPr>
        <w:t xml:space="preserve"> </w:t>
      </w:r>
      <w:r>
        <w:rPr>
          <w:bCs/>
          <w:b/>
        </w:rPr>
        <w:t xml:space="preserve">does not cover inner ties.</w:t>
      </w:r>
      <w:r>
        <w:t xml:space="preserve"> </w:t>
      </w:r>
      <w:r>
        <w:t xml:space="preserve">Spec §6.2’s</w:t>
      </w:r>
      <w:r>
        <w:t xml:space="preserve"> </w:t>
      </w:r>
      <w:r>
        <w:t xml:space="preserve">overlapping closed-loop, subset-defined ties are new geometry. The</w:t>
      </w:r>
      <w:r>
        <w:t xml:space="preserve"> </w:t>
      </w:r>
      <w:r>
        <w:t xml:space="preserve">outer tie MAY reuse</w:t>
      </w:r>
      <w:r>
        <w:t xml:space="preserve"> </w:t>
      </w:r>
      <w:r>
        <w:rPr>
          <w:rStyle w:val="VerbatimChar"/>
        </w:rPr>
        <w:t xml:space="preserve">stirrup_curve_endpoints_mm</w:t>
      </w:r>
      <w:r>
        <w:t xml:space="preserve">-style logic where the</w:t>
      </w:r>
      <w:r>
        <w:t xml:space="preserve"> </w:t>
      </w:r>
      <w:r>
        <w:t xml:space="preserve">shape genuinely matches a beam’s single closed rectangle — confirm this</w:t>
      </w:r>
      <w:r>
        <w:t xml:space="preserve"> </w:t>
      </w:r>
      <w:r>
        <w:t xml:space="preserve">per-function before reusing, do not assume the whole module applies.</w:t>
      </w:r>
    </w:p>
    <w:p>
      <w:pPr>
        <w:numPr>
          <w:ilvl w:val="0"/>
          <w:numId w:val="1003"/>
        </w:numPr>
        <w:pStyle w:val="Compact"/>
      </w:pPr>
      <w:r>
        <w:t xml:space="preserve">Genuinely reusable candidates worth auditing first (not guaranteed,</w:t>
      </w:r>
      <w:r>
        <w:t xml:space="preserve"> </w:t>
      </w:r>
      <w:r>
        <w:t xml:space="preserve">worth checking):</w:t>
      </w:r>
      <w:r>
        <w:t xml:space="preserve"> </w:t>
      </w:r>
      <w:r>
        <w:rPr>
          <w:rStyle w:val="VerbatimChar"/>
        </w:rPr>
        <w:t xml:space="preserve">rft.core.spacing</w:t>
      </w:r>
      <w:r>
        <w:t xml:space="preserve"> </w:t>
      </w:r>
      <w:r>
        <w:t xml:space="preserve">(vertical spacing math is</w:t>
      </w:r>
      <w:r>
        <w:t xml:space="preserve"> </w:t>
      </w:r>
      <w:r>
        <w:t xml:space="preserve">dimension-agnostic),</w:t>
      </w:r>
      <w:r>
        <w:t xml:space="preserve"> </w:t>
      </w:r>
      <w:r>
        <w:rPr>
          <w:rStyle w:val="VerbatimChar"/>
        </w:rPr>
        <w:t xml:space="preserve">rft.core.grades</w:t>
      </w:r>
      <w:r>
        <w:t xml:space="preserve"> </w:t>
      </w:r>
      <w:r>
        <w:t xml:space="preserve">(bar-type/hook-picker UI</w:t>
      </w:r>
      <w:r>
        <w:t xml:space="preserve"> </w:t>
      </w:r>
      <w:r>
        <w:t xml:space="preserve">conventions),</w:t>
      </w:r>
      <w:r>
        <w:t xml:space="preserve"> </w:t>
      </w:r>
      <w:r>
        <w:rPr>
          <w:rStyle w:val="VerbatimChar"/>
        </w:rPr>
        <w:t xml:space="preserve">rft.ui.sketch_palette</w:t>
      </w:r>
      <w:r>
        <w:t xml:space="preserve"> </w:t>
      </w:r>
      <w:r>
        <w:t xml:space="preserve">and the AST-guard/mutation-prover</w:t>
      </w:r>
      <w:r>
        <w:t xml:space="preserve"> </w:t>
      </w:r>
      <w:r>
        <w:t xml:space="preserve">infrastructure in</w:t>
      </w:r>
      <w:r>
        <w:t xml:space="preserve"> </w:t>
      </w:r>
      <w:r>
        <w:rPr>
          <w:rStyle w:val="VerbatimChar"/>
        </w:rPr>
        <w:t xml:space="preserve">rft.core.guards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tools/prove_guards.py</w:t>
      </w:r>
      <w:r>
        <w:t xml:space="preserve">. Do an</w:t>
      </w:r>
      <w:r>
        <w:t xml:space="preserve"> </w:t>
      </w:r>
      <w:r>
        <w:t xml:space="preserve">honest per-module audit before importing — state the audit result in</w:t>
      </w:r>
      <w:r>
        <w:t xml:space="preserve"> </w:t>
      </w:r>
      <w:r>
        <w:t xml:space="preserve">the module’s docstring the way</w:t>
      </w:r>
      <w:r>
        <w:t xml:space="preserve"> </w:t>
      </w:r>
      <w:r>
        <w:rPr>
          <w:rStyle w:val="VerbatimChar"/>
        </w:rPr>
        <w:t xml:space="preserve">rft.core.plan</w:t>
      </w:r>
      <w:r>
        <w:t xml:space="preserve"> </w:t>
      </w:r>
      <w:r>
        <w:t xml:space="preserve">states its own reasoning.</w:t>
      </w:r>
    </w:p>
    <w:bookmarkEnd w:id="23"/>
    <w:bookmarkStart w:id="24" w:name="standing-rule-pyrevit-extension-only"/>
    <w:p>
      <w:pPr>
        <w:pStyle w:val="Heading2"/>
      </w:pPr>
      <w:r>
        <w:t xml:space="preserve">Standing rule: pyRevit extension only</w:t>
      </w:r>
    </w:p>
    <w:p>
      <w:pPr>
        <w:pStyle w:val="FirstParagraph"/>
      </w:pPr>
      <w:r>
        <w:t xml:space="preserve">Same convention as SimpleBeam-RFT-Tool — no</w:t>
      </w:r>
      <w:r>
        <w:t xml:space="preserve"> </w:t>
      </w:r>
      <w:r>
        <w:rPr>
          <w:rStyle w:val="VerbatimChar"/>
        </w:rPr>
        <w:t xml:space="preserve">.addin</w:t>
      </w:r>
      <w:r>
        <w:t xml:space="preserve">, no compiled DLL, no</w:t>
      </w:r>
      <w:r>
        <w:t xml:space="preserve"> </w:t>
      </w:r>
      <w:r>
        <w:t xml:space="preserve">installer. Python only, against pyRevit’s engine.</w:t>
      </w:r>
    </w:p>
    <w:p>
      <w:pPr>
        <w:pStyle w:val="BodyText"/>
      </w:pPr>
      <w:r>
        <w:t xml:space="preserve">Layout: a new</w:t>
      </w:r>
      <w:r>
        <w:t xml:space="preserve"> </w:t>
      </w:r>
      <w:r>
        <w:rPr>
          <w:rStyle w:val="VerbatimChar"/>
        </w:rPr>
        <w:t xml:space="preserve">ColumnRFT.extension/</w:t>
      </w:r>
      <w:r>
        <w:t xml:space="preserve"> </w:t>
      </w:r>
      <w:r>
        <w:t xml:space="preserve">(or a shared</w:t>
      </w:r>
      <w:r>
        <w:t xml:space="preserve"> </w:t>
      </w:r>
      <w:r>
        <w:rPr>
          <w:rStyle w:val="VerbatimChar"/>
        </w:rPr>
        <w:t xml:space="preserve">RFT-Tools.tab</w:t>
      </w:r>
      <w:r>
        <w:t xml:space="preserve"> </w:t>
      </w:r>
      <w:r>
        <w:t xml:space="preserve">with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Columns.panel/</w:t>
      </w:r>
      <w:r>
        <w:t xml:space="preserve">, sibling to</w:t>
      </w:r>
      <w:r>
        <w:t xml:space="preserve"> </w:t>
      </w:r>
      <w:r>
        <w:rPr>
          <w:rStyle w:val="VerbatimChar"/>
        </w:rPr>
        <w:t xml:space="preserve">Beams.panel/</w:t>
      </w:r>
      <w:r>
        <w:t xml:space="preserve"> </w:t>
      </w:r>
      <w:r>
        <w:t xml:space="preserve">— confirm which before the</w:t>
      </w:r>
      <w:r>
        <w:t xml:space="preserve"> </w:t>
      </w:r>
      <w:r>
        <w:t xml:space="preserve">first ticket, since this affects the ribbon convention</w:t>
      </w:r>
      <w:r>
        <w:t xml:space="preserve"> </w:t>
      </w:r>
      <w:r>
        <w:rPr>
          <w:rStyle w:val="VerbatimChar"/>
        </w:rPr>
        <w:t xml:space="preserve">docs/ reuse-for-new-elements.md</w:t>
      </w:r>
      <w:r>
        <w:t xml:space="preserve"> </w:t>
      </w:r>
      <w:r>
        <w:t xml:space="preserve">already anticipated) →</w:t>
      </w:r>
      <w:r>
        <w:t xml:space="preserve"> </w:t>
      </w:r>
      <w:r>
        <w:rPr>
          <w:rStyle w:val="VerbatimChar"/>
        </w:rPr>
        <w:t xml:space="preserve">&lt;Name&gt;.pushbutton/ script.py</w:t>
      </w:r>
      <w:r>
        <w:t xml:space="preserve">, importing shared code from</w:t>
      </w:r>
      <w:r>
        <w:t xml:space="preserve"> </w:t>
      </w:r>
      <w:r>
        <w:rPr>
          <w:rStyle w:val="VerbatimChar"/>
        </w:rPr>
        <w:t xml:space="preserve">RFT.lib</w:t>
      </w:r>
      <w:r>
        <w:t xml:space="preserve"> </w:t>
      </w:r>
      <w:r>
        <w:t xml:space="preserve">exactly as the beam tool</w:t>
      </w:r>
      <w:r>
        <w:t xml:space="preserve"> </w:t>
      </w:r>
      <w:r>
        <w:t xml:space="preserve">does.</w:t>
      </w:r>
    </w:p>
    <w:bookmarkEnd w:id="24"/>
    <w:bookmarkStart w:id="25" w:name="Xa0718895fbab884b67d925f2b5a6ecb4adde243"/>
    <w:p>
      <w:pPr>
        <w:pStyle w:val="Heading2"/>
      </w:pPr>
      <w:r>
        <w:t xml:space="preserve">Standing rule: a live Revit host IS now reachable — this changes the</w:t>
      </w:r>
    </w:p>
    <w:p>
      <w:pPr>
        <w:pStyle w:val="SourceCode"/>
      </w:pPr>
      <w:r>
        <w:rPr>
          <w:rStyle w:val="VerbatimChar"/>
        </w:rPr>
        <w:t xml:space="preserve"> verification workflow from the beam project</w:t>
      </w:r>
    </w:p>
    <w:p>
      <w:pPr>
        <w:pStyle w:val="FirstParagraph"/>
      </w:pPr>
      <w:r>
        <w:t xml:space="preserve">Unlike SimpleBeam-RFT-Tool’s development environment,</w:t>
      </w:r>
      <w:r>
        <w:t xml:space="preserve"> </w:t>
      </w:r>
      <w:r>
        <w:rPr>
          <w:bCs/>
          <w:b/>
        </w:rPr>
        <w:t xml:space="preserve">this project has a</w:t>
      </w:r>
      <w:r>
        <w:rPr>
          <w:bCs/>
          <w:b/>
        </w:rPr>
        <w:t xml:space="preserve"> </w:t>
      </w:r>
      <w:r>
        <w:rPr>
          <w:bCs/>
          <w:b/>
        </w:rPr>
        <w:t xml:space="preserve">Revit MCP connection available</w:t>
      </w:r>
      <w:r>
        <w:t xml:space="preserve">, giving direct read (and possibly write,</w:t>
      </w:r>
      <w:r>
        <w:t xml:space="preserve"> </w:t>
      </w:r>
      <w:r>
        <w:t xml:space="preserve">depending on which MCP server is wired in) access to a real, running Revit</w:t>
      </w:r>
      <w:r>
        <w:t xml:space="preserve"> </w:t>
      </w:r>
      <w:r>
        <w:t xml:space="preserve">session during development.</w:t>
      </w:r>
    </w:p>
    <w:p>
      <w:pPr>
        <w:pStyle w:val="BodyText"/>
      </w:pPr>
      <w:r>
        <w:t xml:space="preserve">This does NOT relax the discipline that got SimpleBeam-RFT-Tool through six</w:t>
      </w:r>
      <w:r>
        <w:t xml:space="preserve"> </w:t>
      </w:r>
      <w:r>
        <w:t xml:space="preserve">release candidates of wrong API assumptions — it removes the reason those</w:t>
      </w:r>
      <w:r>
        <w:t xml:space="preserve"> </w:t>
      </w:r>
      <w:r>
        <w:t xml:space="preserve">assumptions had to be guessed at all: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Spec §11’s tracer bullet is not optional and not deferred.</w:t>
      </w:r>
      <w:r>
        <w:t xml:space="preserve"> </w:t>
      </w:r>
      <w:r>
        <w:t xml:space="preserve">Before any</w:t>
      </w:r>
      <w:r>
        <w:t xml:space="preserve"> </w:t>
      </w:r>
      <w:r>
        <w:rPr>
          <w:rStyle w:val="VerbatimChar"/>
        </w:rPr>
        <w:t xml:space="preserve">column_layout</w:t>
      </w:r>
      <w:r>
        <w:t xml:space="preserve"> </w:t>
      </w:r>
      <w:r>
        <w:t xml:space="preserve">code is written, the column section-orientation 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FacingOrientation</w:t>
      </w:r>
      <w:r>
        <w:t xml:space="preserve">/</w:t>
      </w:r>
      <w:r>
        <w:rPr>
          <w:rStyle w:val="VerbatimChar"/>
        </w:rPr>
        <w:t xml:space="preserve">HandOrientation</w:t>
      </w:r>
      <w:r>
        <w:t xml:space="preserve"> </w:t>
      </w:r>
      <w:r>
        <w:t xml:space="preserve">vs. a type parameter) and the</w:t>
      </w:r>
      <w:r>
        <w:t xml:space="preserve"> </w:t>
      </w:r>
      <w:r>
        <w:t xml:space="preserve">vertical-neighbour search must be confirmed via the MCP connection</w:t>
      </w:r>
      <w:r>
        <w:t xml:space="preserve"> </w:t>
      </w:r>
      <w:r>
        <w:t xml:space="preserve">against a real test column, not assumed from documentation.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new Revit-API shape this tool relies on</w:t>
      </w:r>
      <w:r>
        <w:t xml:space="preserve"> </w:t>
      </w:r>
      <w:r>
        <w:t xml:space="preserve">(reading a</w:t>
      </w:r>
      <w:r>
        <w:t xml:space="preserve"> </w:t>
      </w:r>
      <w:r>
        <w:t xml:space="preserve">point-based</w:t>
      </w:r>
      <w:r>
        <w:t xml:space="preserve"> </w:t>
      </w:r>
      <w:r>
        <w:rPr>
          <w:rStyle w:val="VerbatimChar"/>
        </w:rPr>
        <w:t xml:space="preserve">FamilyInstance</w:t>
      </w:r>
      <w:r>
        <w:t xml:space="preserve">’s rotation, generating multiple closed</w:t>
      </w:r>
      <w:r>
        <w:t xml:space="preserve"> </w:t>
      </w:r>
      <w:r>
        <w:rPr>
          <w:rStyle w:val="VerbatimChar"/>
        </w:rPr>
        <w:t xml:space="preserve">Rebar</w:t>
      </w:r>
      <w:r>
        <w:t xml:space="preserve"> </w:t>
      </w:r>
      <w:r>
        <w:t xml:space="preserve">loops per bar set, per-level hook-corner placement) should be</w:t>
      </w:r>
      <w:r>
        <w:t xml:space="preserve"> </w:t>
      </w:r>
      <w:r>
        <w:t xml:space="preserve">confirmed live via MCP BEFORE the corresponding</w:t>
      </w:r>
      <w:r>
        <w:t xml:space="preserve"> </w:t>
      </w:r>
      <w:r>
        <w:rPr>
          <w:rStyle w:val="VerbatimChar"/>
        </w:rPr>
        <w:t xml:space="preserve">core</w:t>
      </w:r>
      <w:r>
        <w:t xml:space="preserve">/</w:t>
      </w:r>
      <w:r>
        <w:rPr>
          <w:rStyle w:val="VerbatimChar"/>
        </w:rPr>
        <w:t xml:space="preserve">revit</w:t>
      </w:r>
      <w:r>
        <w:t xml:space="preserve"> </w:t>
      </w:r>
      <w:r>
        <w:t xml:space="preserve">module is</w:t>
      </w:r>
      <w:r>
        <w:t xml:space="preserve"> </w:t>
      </w:r>
      <w:r>
        <w:t xml:space="preserve">written against an assumption — not after, as a bug-fix.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Still write it down.</w:t>
      </w:r>
      <w:r>
        <w:t xml:space="preserve"> </w:t>
      </w:r>
      <w:r>
        <w:t xml:space="preserve">A value confirmed via MCP this session is not</w:t>
      </w:r>
      <w:r>
        <w:t xml:space="preserve"> </w:t>
      </w:r>
      <w:r>
        <w:t xml:space="preserve">automatically true in every Revit version or every future host. Keep the</w:t>
      </w:r>
      <w:r>
        <w:t xml:space="preserve"> </w:t>
      </w:r>
      <w:r>
        <w:rPr>
          <w:rStyle w:val="VerbatimChar"/>
        </w:rPr>
        <w:t xml:space="preserve">SHAPE UNVERIFIED</w:t>
      </w:r>
      <w:r>
        <w:t xml:space="preserve"> </w:t>
      </w:r>
      <w:r>
        <w:t xml:space="preserve">/ verified-per-release discipline from the beam</w:t>
      </w:r>
      <w:r>
        <w:t xml:space="preserve"> </w:t>
      </w:r>
      <w:r>
        <w:t xml:space="preserve">project’s</w:t>
      </w:r>
      <w:r>
        <w:t xml:space="preserve"> </w:t>
      </w:r>
      <w:r>
        <w:rPr>
          <w:rStyle w:val="VerbatimChar"/>
        </w:rPr>
        <w:t xml:space="preserve">tests/fake_revit_api.py</w:t>
      </w:r>
      <w:r>
        <w:t xml:space="preserve"> </w:t>
      </w:r>
      <w:r>
        <w:t xml:space="preserve">and changelog — MCP access speeds up</w:t>
      </w:r>
      <w:r>
        <w:t xml:space="preserve"> </w:t>
      </w:r>
      <w:r>
        <w:rPr>
          <w:iCs/>
          <w:i/>
        </w:rPr>
        <w:t xml:space="preserve">finding</w:t>
      </w:r>
      <w:r>
        <w:t xml:space="preserve"> </w:t>
      </w:r>
      <w:r>
        <w:t xml:space="preserve">the truth, it doesn’t replace</w:t>
      </w:r>
      <w:r>
        <w:t xml:space="preserve"> </w:t>
      </w:r>
      <w:r>
        <w:rPr>
          <w:iCs/>
          <w:i/>
        </w:rPr>
        <w:t xml:space="preserve">recording</w:t>
      </w:r>
      <w:r>
        <w:t xml:space="preserve"> </w:t>
      </w:r>
      <w:r>
        <w:t xml:space="preserve">it for whoever reads</w:t>
      </w:r>
      <w:r>
        <w:t xml:space="preserve"> </w:t>
      </w:r>
      <w:r>
        <w:t xml:space="preserve">this repo without an MCP connection of their own.</w:t>
      </w:r>
    </w:p>
    <w:p>
      <w:pPr>
        <w:numPr>
          <w:ilvl w:val="0"/>
          <w:numId w:val="1004"/>
        </w:numPr>
        <w:pStyle w:val="Compact"/>
      </w:pPr>
      <w:r>
        <w:t xml:space="preserve">If the MCP connection is read-only for a given session, treat placement</w:t>
      </w:r>
      <w:r>
        <w:t xml:space="preserve"> </w:t>
      </w:r>
      <w:r>
        <w:t xml:space="preserve">logic exactly as unverified as the beam project always did, and gate</w:t>
      </w:r>
      <w:r>
        <w:t xml:space="preserve"> </w:t>
      </w:r>
      <w:r>
        <w:t xml:space="preserve">placement-related tickets accordingly.</w:t>
      </w:r>
    </w:p>
    <w:bookmarkEnd w:id="25"/>
    <w:bookmarkStart w:id="26" w:name="X87cfc63699e5a1873cf6349fcb2a9cb1b5ad907"/>
    <w:p>
      <w:pPr>
        <w:pStyle w:val="Heading2"/>
      </w:pPr>
      <w:r>
        <w:t xml:space="preserve">Standing rule: mutation-proven guards, same bar as the beam tool</w:t>
      </w:r>
    </w:p>
    <w:p>
      <w:pPr>
        <w:pStyle w:val="FirstParagraph"/>
      </w:pPr>
      <w:r>
        <w:t xml:space="preserve">Any guard added for logic that cannot be executed directly under CPython</w:t>
      </w:r>
      <w:r>
        <w:t xml:space="preserve"> </w:t>
      </w:r>
      <w:r>
        <w:t xml:space="preserve">(anything touching</w:t>
      </w:r>
      <w:r>
        <w:t xml:space="preserve"> </w:t>
      </w:r>
      <w:r>
        <w:rPr>
          <w:rStyle w:val="VerbatimChar"/>
        </w:rPr>
        <w:t xml:space="preserve">pyrevit</w:t>
      </w:r>
      <w:r>
        <w:t xml:space="preserve">, WPF, or the live Revit API) must be provable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tools/prove_guards.py</w:t>
      </w:r>
      <w:r>
        <w:t xml:space="preserve">-style mutation — reintroduce the defect, show</w:t>
      </w:r>
      <w:r>
        <w:t xml:space="preserve"> </w:t>
      </w:r>
      <w:r>
        <w:t xml:space="preserve">the guard catches it — before it counts as tested. A guard that has never</w:t>
      </w:r>
      <w:r>
        <w:t xml:space="preserve"> </w:t>
      </w:r>
      <w:r>
        <w:t xml:space="preserve">been shown to fail has only been written, not tested. This bar does not</w:t>
      </w:r>
      <w:r>
        <w:t xml:space="preserve"> </w:t>
      </w:r>
      <w:r>
        <w:t xml:space="preserve">lower for a second tool.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olumn-rft-detailing-spe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olumn-rft-detailing-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Context ��� Column RFT Tool</dc:title>
  <dc:creator/>
  <cp:keywords/>
  <dcterms:created xsi:type="dcterms:W3CDTF">2026-09-14T11:28:24Z</dcterms:created>
  <dcterms:modified xsi:type="dcterms:W3CDTF">2026-09-14T11:28:24Z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